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90517" w14:textId="7D3D40D0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3C2A6B">
        <w:rPr>
          <w:b/>
          <w:sz w:val="22"/>
        </w:rPr>
        <w:t>siwz</w:t>
      </w:r>
    </w:p>
    <w:p w14:paraId="4FA53120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0F5A7683" w14:textId="77777777" w:rsidR="00FD58B7" w:rsidRDefault="00FD58B7" w:rsidP="007D41FB">
      <w:pPr>
        <w:rPr>
          <w:b/>
          <w:sz w:val="28"/>
          <w:szCs w:val="28"/>
        </w:rPr>
      </w:pPr>
      <w:r>
        <w:rPr>
          <w:b/>
          <w:sz w:val="28"/>
          <w:szCs w:val="28"/>
        </w:rPr>
        <w:t>ZADANIE NR</w:t>
      </w:r>
      <w:r w:rsidR="007D41FB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 </w:t>
      </w:r>
      <w:r w:rsidRPr="007C634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7D41FB" w:rsidRPr="007D41FB">
        <w:rPr>
          <w:b/>
          <w:sz w:val="28"/>
          <w:szCs w:val="28"/>
        </w:rPr>
        <w:t xml:space="preserve">Zestaw </w:t>
      </w:r>
      <w:proofErr w:type="spellStart"/>
      <w:r w:rsidR="007D41FB" w:rsidRPr="007D41FB">
        <w:rPr>
          <w:b/>
          <w:sz w:val="28"/>
          <w:szCs w:val="28"/>
        </w:rPr>
        <w:t>videoendoskopowy</w:t>
      </w:r>
      <w:proofErr w:type="spellEnd"/>
      <w:r w:rsidR="007D41FB" w:rsidRPr="007D41FB">
        <w:rPr>
          <w:b/>
          <w:sz w:val="28"/>
          <w:szCs w:val="28"/>
        </w:rPr>
        <w:t xml:space="preserve"> do diagnostyki w obrębie głowy i szyi – </w:t>
      </w:r>
      <w:r>
        <w:rPr>
          <w:b/>
          <w:sz w:val="28"/>
          <w:szCs w:val="28"/>
        </w:rPr>
        <w:t xml:space="preserve"> 1 szt.</w:t>
      </w:r>
    </w:p>
    <w:p w14:paraId="1C8149EC" w14:textId="77777777" w:rsidR="0075350F" w:rsidRDefault="0075350F">
      <w:pPr>
        <w:spacing w:line="360" w:lineRule="auto"/>
        <w:ind w:hanging="284"/>
        <w:rPr>
          <w:sz w:val="24"/>
        </w:rPr>
      </w:pPr>
    </w:p>
    <w:p w14:paraId="26FD9D68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6A8C5ADF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258710C7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499B6E1F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6ADC6E34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257CC404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3E78A27F" w14:textId="77777777" w:rsidR="00FD58B7" w:rsidRDefault="00FD58B7"/>
    <w:p w14:paraId="34FEC232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3833"/>
        <w:gridCol w:w="1897"/>
        <w:gridCol w:w="2772"/>
      </w:tblGrid>
      <w:tr w:rsidR="00C057DF" w14:paraId="1A0AD08F" w14:textId="77777777" w:rsidTr="00C057DF">
        <w:tc>
          <w:tcPr>
            <w:tcW w:w="1278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C6CCCC2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833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4F80B16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189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ACE3851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772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74532F6C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364F44AF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C057DF" w14:paraId="58904CB9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FAF67" w14:textId="77777777" w:rsidR="006B0A82" w:rsidRPr="008B3AA8" w:rsidRDefault="00EB6F99" w:rsidP="00183740">
            <w:pPr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28D7C3" w14:textId="77777777" w:rsidR="006B0A82" w:rsidRPr="0061212F" w:rsidRDefault="003D026C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 xml:space="preserve">Procesor wideo z wbudowaną archiwizacją </w:t>
            </w:r>
            <w:r>
              <w:rPr>
                <w:rStyle w:val="ListLabel1"/>
                <w:rFonts w:cs="Times New Roman"/>
                <w:sz w:val="22"/>
                <w:szCs w:val="22"/>
              </w:rPr>
              <w:t>oraz zasilaniem źródłem światła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A2969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443654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21C11E11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C3471" w14:textId="77777777" w:rsidR="006B0A82" w:rsidRPr="008B3AA8" w:rsidRDefault="00EB6F99" w:rsidP="00183740">
            <w:pPr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4A7B8" w14:textId="77777777" w:rsidR="006B0A82" w:rsidRPr="0061212F" w:rsidRDefault="003D026C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 xml:space="preserve">Procesor wideo oferujący obraz w rozdzielczości 1080p (1920x1080 </w:t>
            </w:r>
            <w:proofErr w:type="spellStart"/>
            <w:r w:rsidRPr="003D026C">
              <w:rPr>
                <w:rStyle w:val="ListLabel1"/>
                <w:rFonts w:cs="Times New Roman"/>
                <w:sz w:val="22"/>
                <w:szCs w:val="22"/>
              </w:rPr>
              <w:t>pixeli</w:t>
            </w:r>
            <w:proofErr w:type="spellEnd"/>
            <w:r w:rsidRPr="003D026C">
              <w:rPr>
                <w:rStyle w:val="ListLabel1"/>
                <w:rFonts w:cs="Times New Roman"/>
                <w:sz w:val="22"/>
                <w:szCs w:val="22"/>
              </w:rPr>
              <w:t>),  umożliwiający podłączenie aparatu CMOS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33216D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3D026C">
              <w:rPr>
                <w:sz w:val="22"/>
                <w:szCs w:val="22"/>
              </w:rPr>
              <w:t>, podać wartość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D96157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4FE5EFC4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B2462" w14:textId="77777777" w:rsidR="006B0A82" w:rsidRPr="008B3AA8" w:rsidRDefault="00EB6F99" w:rsidP="00183740">
            <w:pPr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9F6B8A" w14:textId="77777777" w:rsidR="006B0A82" w:rsidRPr="0061212F" w:rsidRDefault="003D026C" w:rsidP="008B3AA8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>Procesor wyposażony w panel z przyciskami do sterowania menu w języku polskim, sterujący funk</w:t>
            </w:r>
            <w:r>
              <w:rPr>
                <w:rStyle w:val="ListLabel1"/>
                <w:rFonts w:cs="Times New Roman"/>
                <w:sz w:val="22"/>
                <w:szCs w:val="22"/>
              </w:rPr>
              <w:t>cjami urządzenia oraz endoskopu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ED5FDC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B831C6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30DF4B4A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C0333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83A2EF" w14:textId="77777777" w:rsidR="006B0A82" w:rsidRPr="0061212F" w:rsidRDefault="003D026C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>Procesor wideo posiadający moduł współpracujący ze źródłem światła LED, wbudowanym w endoskop giętki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0E5169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B5617E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33561748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8180C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9F46BF" w14:textId="77777777" w:rsidR="006B0A82" w:rsidRPr="0061212F" w:rsidRDefault="003D026C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>Wyjścia typu: DVI, (min. 1 sztuka), VGA (min. 1 sztuka), USB (min. 4 sztuki - do podłączania urządzeń peryferyjnych oraz do p</w:t>
            </w:r>
            <w:r>
              <w:rPr>
                <w:rStyle w:val="ListLabel1"/>
                <w:rFonts w:cs="Times New Roman"/>
                <w:sz w:val="22"/>
                <w:szCs w:val="22"/>
              </w:rPr>
              <w:t>odłączania pamięci zewnętrznej)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69E4AF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7D49CF">
              <w:rPr>
                <w:sz w:val="22"/>
                <w:szCs w:val="22"/>
              </w:rPr>
              <w:t>, podać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176BDA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44D8BB7F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7E70F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F7E7A0" w14:textId="77777777" w:rsidR="006B0A82" w:rsidRPr="0061212F" w:rsidRDefault="003D026C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>Procesor wideo z wbudowany</w:t>
            </w:r>
            <w:r>
              <w:rPr>
                <w:rStyle w:val="ListLabel1"/>
                <w:rFonts w:cs="Times New Roman"/>
                <w:sz w:val="22"/>
                <w:szCs w:val="22"/>
              </w:rPr>
              <w:t>m systemem archiwizacji obrazów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7DDE05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3BB55D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37813047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9DDF49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1.6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8BDFCA" w14:textId="77777777" w:rsidR="006B0A82" w:rsidRPr="0061212F" w:rsidRDefault="003D026C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>Możliwość zapisu na pamięci przenośnej podłączanej do portu USB sekwencji filmów</w:t>
            </w:r>
            <w:r>
              <w:rPr>
                <w:rStyle w:val="ListLabel1"/>
                <w:rFonts w:cs="Times New Roman"/>
                <w:sz w:val="22"/>
                <w:szCs w:val="22"/>
              </w:rPr>
              <w:t xml:space="preserve"> (np. urządzenie typu pendrive)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15344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D83773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5F4BE038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5EFBA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1.7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6AADE7" w14:textId="77777777" w:rsidR="006B0A82" w:rsidRPr="0061212F" w:rsidRDefault="003D026C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Automatyczny balans bieli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9E5027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375F53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726E33A3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59D81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1.8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D863EA" w14:textId="77777777" w:rsidR="006B0A82" w:rsidRPr="0061212F" w:rsidRDefault="003D026C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>Zmiana ustawień urządzenia dostępna z panelu przedniego urządzenia, z klawiatury,  sterownika nożnego o</w:t>
            </w:r>
            <w:r>
              <w:rPr>
                <w:rStyle w:val="ListLabel1"/>
                <w:rFonts w:cs="Times New Roman"/>
                <w:sz w:val="22"/>
                <w:szCs w:val="22"/>
              </w:rPr>
              <w:t xml:space="preserve">raz z przycisków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wideoendoskopu</w:t>
            </w:r>
            <w:proofErr w:type="spellEnd"/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DB9D5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14F189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755B96AC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BFE091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1.9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16C0F7" w14:textId="77777777" w:rsidR="006B0A82" w:rsidRPr="0061212F" w:rsidRDefault="003D026C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 xml:space="preserve">Możliwość zapamiętania min. 2 klawiszy „skrótów” na sterowniku nożnym oraz </w:t>
            </w:r>
            <w:r w:rsidRPr="003D026C">
              <w:rPr>
                <w:rStyle w:val="ListLabel1"/>
                <w:rFonts w:cs="Times New Roman"/>
                <w:sz w:val="22"/>
                <w:szCs w:val="22"/>
              </w:rPr>
              <w:lastRenderedPageBreak/>
              <w:t xml:space="preserve">min. 2 przycisków </w:t>
            </w:r>
            <w:r>
              <w:rPr>
                <w:rStyle w:val="ListLabel1"/>
                <w:rFonts w:cs="Times New Roman"/>
                <w:sz w:val="22"/>
                <w:szCs w:val="22"/>
              </w:rPr>
              <w:t>„skrótów” na endoskopie giętkim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5969A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lastRenderedPageBreak/>
              <w:t>TAK</w:t>
            </w:r>
            <w:r w:rsidR="003D026C">
              <w:rPr>
                <w:sz w:val="22"/>
                <w:szCs w:val="22"/>
              </w:rPr>
              <w:t>, podać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39F67BD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2650A6BD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B03C98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1.10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173A6" w14:textId="77777777" w:rsidR="006B0A82" w:rsidRPr="0061212F" w:rsidRDefault="003D026C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3D026C">
              <w:rPr>
                <w:rStyle w:val="ListLabel1"/>
                <w:rFonts w:cs="Times New Roman"/>
                <w:sz w:val="22"/>
                <w:szCs w:val="22"/>
              </w:rPr>
              <w:t>Urządz</w:t>
            </w:r>
            <w:r>
              <w:rPr>
                <w:rStyle w:val="ListLabel1"/>
                <w:rFonts w:cs="Times New Roman"/>
                <w:sz w:val="22"/>
                <w:szCs w:val="22"/>
              </w:rPr>
              <w:t xml:space="preserve">enie z funkcją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zoom’u</w:t>
            </w:r>
            <w:proofErr w:type="spellEnd"/>
            <w:r>
              <w:rPr>
                <w:rStyle w:val="ListLabel1"/>
                <w:rFonts w:cs="Times New Roman"/>
                <w:sz w:val="22"/>
                <w:szCs w:val="22"/>
              </w:rPr>
              <w:t xml:space="preserve"> cyfrowego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8E9EBD" w14:textId="7678ED65" w:rsidR="006B0A82" w:rsidRPr="008B3AA8" w:rsidRDefault="006B0A82" w:rsidP="00E01D0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F6CA70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29B7D4DA" w14:textId="77777777" w:rsidTr="00C057DF"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96969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EDEFA9" w14:textId="77777777" w:rsidR="006B0A82" w:rsidRPr="0061212F" w:rsidRDefault="003D026C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proofErr w:type="spellStart"/>
            <w:r w:rsidRPr="003D026C">
              <w:rPr>
                <w:rStyle w:val="ListLabel1"/>
                <w:rFonts w:cs="Times New Roman"/>
                <w:sz w:val="22"/>
                <w:szCs w:val="22"/>
              </w:rPr>
              <w:t>Wideonosofaryngoskop</w:t>
            </w:r>
            <w:proofErr w:type="spellEnd"/>
            <w:r w:rsidRPr="003D026C">
              <w:rPr>
                <w:rStyle w:val="ListLabel1"/>
                <w:rFonts w:cs="Times New Roman"/>
                <w:sz w:val="22"/>
                <w:szCs w:val="22"/>
              </w:rPr>
              <w:t xml:space="preserve"> CMOS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0FEC74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0EEF19C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282862A1" w14:textId="77777777" w:rsidTr="00C057DF">
        <w:trPr>
          <w:trHeight w:val="73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6D673F" w14:textId="77777777" w:rsidR="006B0A82" w:rsidRPr="008B3AA8" w:rsidRDefault="00EB6F99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1E8A44" w14:textId="77777777" w:rsidR="006B0A82" w:rsidRPr="007D49CF" w:rsidRDefault="00EB6F99" w:rsidP="00AB2652">
            <w:pPr>
              <w:rPr>
                <w:rStyle w:val="ListLabel1"/>
                <w:rFonts w:cs="Times New Roman"/>
                <w:color w:val="000000"/>
                <w:sz w:val="22"/>
                <w:szCs w:val="22"/>
              </w:rPr>
            </w:pPr>
            <w:r w:rsidRPr="007D49CF">
              <w:rPr>
                <w:color w:val="000000"/>
                <w:sz w:val="22"/>
                <w:szCs w:val="22"/>
              </w:rPr>
              <w:t>Pole widzenia min. 90 stopni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AB3D41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EB6F99">
              <w:rPr>
                <w:sz w:val="22"/>
                <w:szCs w:val="22"/>
              </w:rPr>
              <w:t>, podać wartość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659A55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47E15BA9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5C8F88" w14:textId="77777777" w:rsidR="006B0A82" w:rsidRPr="008B3AA8" w:rsidRDefault="007228ED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B3476" w14:textId="77777777" w:rsidR="006B0A82" w:rsidRPr="0061212F" w:rsidRDefault="007228ED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228ED">
              <w:rPr>
                <w:rStyle w:val="ListLabel1"/>
                <w:rFonts w:cs="Times New Roman"/>
                <w:sz w:val="22"/>
                <w:szCs w:val="22"/>
              </w:rPr>
              <w:t>Głębia widzenia w zakresie min. 5-50 mm.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88DD3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7228ED">
              <w:rPr>
                <w:sz w:val="22"/>
                <w:szCs w:val="22"/>
              </w:rPr>
              <w:t>, podać wartość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A05B44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57DF" w14:paraId="25AE5AA3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863CD6" w14:textId="77777777" w:rsidR="006B0A82" w:rsidRPr="008B3AA8" w:rsidRDefault="007228ED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D89A6F" w14:textId="77777777" w:rsidR="006B0A82" w:rsidRPr="003C2A6B" w:rsidRDefault="007228ED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3C2A6B">
              <w:rPr>
                <w:rStyle w:val="ListLabel1"/>
                <w:rFonts w:cs="Times New Roman"/>
                <w:sz w:val="22"/>
                <w:szCs w:val="22"/>
              </w:rPr>
              <w:t>Średnica zewnętrzna sondy maks. 3 mm.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A9731C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7228ED">
              <w:rPr>
                <w:sz w:val="22"/>
                <w:szCs w:val="22"/>
              </w:rPr>
              <w:t>, podać wartość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EB1CA6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60DFC1D9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7DFCE" w14:textId="77777777" w:rsidR="00AB2652" w:rsidRPr="008B3AA8" w:rsidRDefault="007228ED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B1AB57" w14:textId="68F0BF90" w:rsidR="00AB2652" w:rsidRPr="003C2A6B" w:rsidRDefault="007228ED" w:rsidP="00AB2652">
            <w:pPr>
              <w:rPr>
                <w:sz w:val="22"/>
                <w:szCs w:val="22"/>
              </w:rPr>
            </w:pPr>
            <w:r w:rsidRPr="003C2A6B">
              <w:rPr>
                <w:sz w:val="22"/>
                <w:szCs w:val="22"/>
              </w:rPr>
              <w:t>Długość robocza 300 mm</w:t>
            </w:r>
            <w:r w:rsidR="003C2A6B" w:rsidRPr="003C2A6B">
              <w:rPr>
                <w:sz w:val="22"/>
                <w:szCs w:val="22"/>
              </w:rPr>
              <w:t xml:space="preserve"> (+/- 5%)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709B6" w14:textId="77777777" w:rsidR="00AB2652" w:rsidRPr="008B3AA8" w:rsidRDefault="007228ED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 wartość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80C748C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0310AF60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1C9B5F" w14:textId="77777777" w:rsidR="00AB2652" w:rsidRPr="008B3AA8" w:rsidRDefault="007228ED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2.5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813073" w14:textId="77777777" w:rsidR="00AB2652" w:rsidRPr="0061212F" w:rsidRDefault="007228ED" w:rsidP="00AB2652">
            <w:pPr>
              <w:rPr>
                <w:sz w:val="22"/>
                <w:szCs w:val="22"/>
              </w:rPr>
            </w:pPr>
            <w:r w:rsidRPr="007228ED">
              <w:rPr>
                <w:sz w:val="22"/>
                <w:szCs w:val="22"/>
              </w:rPr>
              <w:t>Zagięcie ko</w:t>
            </w:r>
            <w:r>
              <w:rPr>
                <w:sz w:val="22"/>
                <w:szCs w:val="22"/>
              </w:rPr>
              <w:t>ńcówki góra/dół min. 120 stopni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2C9AAD" w14:textId="77777777" w:rsidR="00AB2652" w:rsidRPr="008B3AA8" w:rsidRDefault="007228ED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 wartość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836A2CF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0D6FE0C5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24B6FD" w14:textId="77777777" w:rsidR="00AB2652" w:rsidRPr="008B3AA8" w:rsidRDefault="007228ED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CDBD5" w14:textId="77777777" w:rsidR="00AB2652" w:rsidRPr="0061212F" w:rsidRDefault="007228ED" w:rsidP="00AB2652">
            <w:pPr>
              <w:rPr>
                <w:sz w:val="22"/>
                <w:szCs w:val="22"/>
              </w:rPr>
            </w:pPr>
            <w:r w:rsidRPr="007228ED">
              <w:rPr>
                <w:sz w:val="22"/>
                <w:szCs w:val="22"/>
              </w:rPr>
              <w:t>Min. 2 przyciski funkcyjne, programowalne umieszczone na głowicy dające możliwość przypisania każdemu z nich min. takich funkcji jak: wykonanie zdjęcia, nagranie filmu, stopklatka, włączenie/wyłączenie wbudowanego w rękojeść światła LED, zoom ±.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DA55A4" w14:textId="77777777" w:rsidR="00AB2652" w:rsidRPr="008B3AA8" w:rsidRDefault="007228ED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E145790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45004A8B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0E948D" w14:textId="77777777" w:rsidR="00AB2652" w:rsidRPr="008B3AA8" w:rsidRDefault="007228ED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2.7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5946E" w14:textId="77777777" w:rsidR="00AB2652" w:rsidRPr="0061212F" w:rsidRDefault="007228ED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7228ED">
              <w:rPr>
                <w:rFonts w:cs="Times New Roman"/>
                <w:sz w:val="22"/>
                <w:szCs w:val="22"/>
              </w:rPr>
              <w:t>Endoskop posiadający wbudowane źródło światła LED.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FC0413" w14:textId="77777777" w:rsidR="00AB2652" w:rsidRPr="008B3AA8" w:rsidRDefault="007228ED" w:rsidP="008B3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83504A7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51F4E6F3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388219" w14:textId="77777777" w:rsidR="00AB2652" w:rsidRPr="008B3AA8" w:rsidRDefault="007228ED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2.8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E3DD7D" w14:textId="77777777" w:rsidR="00AB2652" w:rsidRPr="0061212F" w:rsidRDefault="007228ED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7228ED">
              <w:rPr>
                <w:rFonts w:cs="Times New Roman"/>
                <w:sz w:val="22"/>
                <w:szCs w:val="22"/>
              </w:rPr>
              <w:t>Endoskop w pełni zanurzalny, dostarcz</w:t>
            </w:r>
            <w:r>
              <w:rPr>
                <w:rFonts w:cs="Times New Roman"/>
                <w:sz w:val="22"/>
                <w:szCs w:val="22"/>
              </w:rPr>
              <w:t>any wraz z testerem szczelności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B4C72B" w14:textId="77777777" w:rsidR="00AB2652" w:rsidRPr="008B3AA8" w:rsidRDefault="007228ED" w:rsidP="008B3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749B6C2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484CA227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4CD424" w14:textId="77777777" w:rsidR="00AB2652" w:rsidRPr="008B3AA8" w:rsidRDefault="007228ED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733715" w14:textId="77777777" w:rsidR="00AB2652" w:rsidRPr="0061212F" w:rsidRDefault="007228ED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7228ED">
              <w:rPr>
                <w:rFonts w:cs="Times New Roman"/>
                <w:sz w:val="22"/>
                <w:szCs w:val="22"/>
              </w:rPr>
              <w:t>Monitor medyczny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14D77B" w14:textId="77777777" w:rsidR="00AB2652" w:rsidRPr="008B3AA8" w:rsidRDefault="007228ED" w:rsidP="008B3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29B3BA8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609FDCC4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F59167" w14:textId="77777777" w:rsidR="00AB2652" w:rsidRPr="008B3AA8" w:rsidRDefault="00D83172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D7F116" w14:textId="77777777" w:rsidR="00AB2652" w:rsidRPr="0061212F" w:rsidRDefault="00D83172" w:rsidP="009F31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 medyczny min. 21 cala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48BC93" w14:textId="77777777" w:rsidR="00AB2652" w:rsidRPr="008B3AA8" w:rsidRDefault="00D8317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 wartość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1771650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1C2DF7D2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E54602" w14:textId="77777777" w:rsidR="00AB2652" w:rsidRPr="008B3AA8" w:rsidRDefault="00D83172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BAFC4" w14:textId="77777777" w:rsidR="00AB2652" w:rsidRPr="0061212F" w:rsidRDefault="00D83172" w:rsidP="009F31DE">
            <w:pPr>
              <w:rPr>
                <w:sz w:val="22"/>
                <w:szCs w:val="22"/>
              </w:rPr>
            </w:pPr>
            <w:r w:rsidRPr="00D83172">
              <w:rPr>
                <w:sz w:val="22"/>
                <w:szCs w:val="22"/>
              </w:rPr>
              <w:t>Technologia podświetlenia LED z wysoką rozdzielczością min. FHD 1920 x 1080, kontrast min. 1000:1, jasność min. 250, czas reakcji 3ms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52C18D" w14:textId="77777777" w:rsidR="00AB2652" w:rsidRPr="008B3AA8" w:rsidRDefault="00D8317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 wartość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1D825C6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699FBE12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88F36E" w14:textId="77777777" w:rsidR="00AB2652" w:rsidRPr="008B3AA8" w:rsidRDefault="00D83172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EF8904" w14:textId="77777777" w:rsidR="00AB2652" w:rsidRPr="0061212F" w:rsidRDefault="00D83172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83172">
              <w:rPr>
                <w:rFonts w:cs="Times New Roman"/>
                <w:sz w:val="22"/>
                <w:szCs w:val="22"/>
              </w:rPr>
              <w:t>Technologia PIP; Wbudowany układ poprawiania obrazu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68584A" w14:textId="77777777" w:rsidR="00AB2652" w:rsidRPr="008B3AA8" w:rsidRDefault="00D83172" w:rsidP="00D83172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00FCFB2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652" w14:paraId="09815EBA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4BB3A6" w14:textId="77777777" w:rsidR="00AB2652" w:rsidRPr="008B3AA8" w:rsidRDefault="00D83172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7AB7D" w14:textId="77777777" w:rsidR="00AB2652" w:rsidRPr="0061212F" w:rsidRDefault="00D83172" w:rsidP="009F31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Wytrzymała metalowa obudowa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BABF7C" w14:textId="77777777" w:rsidR="00AB2652" w:rsidRPr="008B3AA8" w:rsidRDefault="00D83172" w:rsidP="00D83172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C50F986" w14:textId="77777777" w:rsidR="00AB2652" w:rsidRPr="008B3AA8" w:rsidRDefault="00AB265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F31DE" w14:paraId="7F10091E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BBF44" w14:textId="77777777" w:rsidR="009F31DE" w:rsidRPr="008B3AA8" w:rsidRDefault="00D83172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3.5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85684D" w14:textId="77777777" w:rsidR="009F31DE" w:rsidRPr="0061212F" w:rsidRDefault="00D83172" w:rsidP="009F31DE">
            <w:pPr>
              <w:rPr>
                <w:sz w:val="22"/>
                <w:szCs w:val="22"/>
              </w:rPr>
            </w:pPr>
            <w:r w:rsidRPr="00D83172">
              <w:rPr>
                <w:sz w:val="22"/>
                <w:szCs w:val="22"/>
              </w:rPr>
              <w:t>Przyciski sterowania z sensorem dotykowym dla z</w:t>
            </w:r>
            <w:r>
              <w:rPr>
                <w:sz w:val="22"/>
                <w:szCs w:val="22"/>
              </w:rPr>
              <w:t>abezpieczenia przed wandalizmem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F0839" w14:textId="77777777" w:rsidR="009F31DE" w:rsidRPr="008B3AA8" w:rsidRDefault="00D83172" w:rsidP="00D83172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4EB39A9" w14:textId="77777777" w:rsidR="009F31DE" w:rsidRPr="008B3AA8" w:rsidRDefault="009F31D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F31DE" w14:paraId="01DC19F0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3AC680" w14:textId="77777777" w:rsidR="009F31DE" w:rsidRPr="008B3AA8" w:rsidRDefault="00D83172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3.6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DDE70D" w14:textId="77777777" w:rsidR="009F31DE" w:rsidRPr="0061212F" w:rsidRDefault="00D83172" w:rsidP="009F31DE">
            <w:pPr>
              <w:rPr>
                <w:sz w:val="22"/>
                <w:szCs w:val="22"/>
              </w:rPr>
            </w:pPr>
            <w:r w:rsidRPr="00D83172">
              <w:rPr>
                <w:sz w:val="22"/>
                <w:szCs w:val="22"/>
              </w:rPr>
              <w:t>Uniwersalne wejścia typu: VGA, DVI, HDMI, S-Video</w:t>
            </w:r>
            <w:r>
              <w:rPr>
                <w:sz w:val="22"/>
                <w:szCs w:val="22"/>
              </w:rPr>
              <w:t>, CVBS (RCA x 2), wejście audio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F5D3AA" w14:textId="77777777" w:rsidR="009F31DE" w:rsidRPr="008B3AA8" w:rsidRDefault="00D8317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AC5D07D" w14:textId="77777777" w:rsidR="009F31DE" w:rsidRPr="008B3AA8" w:rsidRDefault="009F31D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F31DE" w14:paraId="4B6B60B5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DBCD72" w14:textId="77777777" w:rsidR="009F31DE" w:rsidRPr="008B3AA8" w:rsidRDefault="00D83172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3.7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6596A3" w14:textId="77777777" w:rsidR="009F31DE" w:rsidRPr="0061212F" w:rsidRDefault="00D83172" w:rsidP="009F31DE">
            <w:pPr>
              <w:rPr>
                <w:sz w:val="22"/>
                <w:szCs w:val="22"/>
              </w:rPr>
            </w:pPr>
            <w:r w:rsidRPr="00D83172">
              <w:rPr>
                <w:sz w:val="22"/>
                <w:szCs w:val="22"/>
              </w:rPr>
              <w:t xml:space="preserve">Tryb Podświetlenie, do łatwego </w:t>
            </w:r>
            <w:r>
              <w:rPr>
                <w:sz w:val="22"/>
                <w:szCs w:val="22"/>
              </w:rPr>
              <w:t>oglądania filmów rentgenowskich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50BE50" w14:textId="77777777" w:rsidR="009F31DE" w:rsidRPr="008B3AA8" w:rsidRDefault="00D83172" w:rsidP="00D83172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AA1C766" w14:textId="77777777" w:rsidR="009F31DE" w:rsidRPr="008B3AA8" w:rsidRDefault="009F31D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F31DE" w14:paraId="1323485E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9D29F" w14:textId="77777777" w:rsidR="009F31DE" w:rsidRPr="008B3AA8" w:rsidRDefault="00D83172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3.8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C219EC" w14:textId="77777777" w:rsidR="009F31DE" w:rsidRPr="0061212F" w:rsidRDefault="00D83172" w:rsidP="009F31DE">
            <w:pPr>
              <w:rPr>
                <w:sz w:val="22"/>
                <w:szCs w:val="22"/>
              </w:rPr>
            </w:pPr>
            <w:r w:rsidRPr="00D83172">
              <w:rPr>
                <w:sz w:val="22"/>
                <w:szCs w:val="22"/>
              </w:rPr>
              <w:t>Medyczne napięc</w:t>
            </w:r>
            <w:r>
              <w:rPr>
                <w:sz w:val="22"/>
                <w:szCs w:val="22"/>
              </w:rPr>
              <w:t>ie zasilania prądu stałego 24 V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692576" w14:textId="77777777" w:rsidR="009F31DE" w:rsidRPr="008B3AA8" w:rsidRDefault="00D83172" w:rsidP="00D83172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4CEF896" w14:textId="77777777" w:rsidR="009F31DE" w:rsidRPr="008B3AA8" w:rsidRDefault="009F31D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83172" w14:paraId="0FBE38AF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C08A0" w14:textId="77777777" w:rsidR="00D83172" w:rsidRPr="008B3AA8" w:rsidRDefault="00D83172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3D118" w14:textId="77777777" w:rsidR="00D83172" w:rsidRPr="00D83172" w:rsidRDefault="00C057DF" w:rsidP="009F31DE">
            <w:pPr>
              <w:rPr>
                <w:sz w:val="22"/>
                <w:szCs w:val="22"/>
              </w:rPr>
            </w:pPr>
            <w:r w:rsidRPr="00C057DF">
              <w:rPr>
                <w:sz w:val="22"/>
                <w:szCs w:val="22"/>
              </w:rPr>
              <w:t>Wózek medyczny z wyposażeniem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95FEE" w14:textId="77777777" w:rsidR="00D83172" w:rsidRPr="008B3AA8" w:rsidRDefault="00C057DF" w:rsidP="00D83172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06221FA" w14:textId="77777777" w:rsidR="00D83172" w:rsidRPr="008B3AA8" w:rsidRDefault="00D8317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83172" w14:paraId="3396C8A9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914248" w14:textId="77777777" w:rsidR="00D83172" w:rsidRPr="008B3AA8" w:rsidRDefault="00C057DF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A87A2E" w14:textId="77777777" w:rsidR="00D83172" w:rsidRPr="00D83172" w:rsidRDefault="00C057DF" w:rsidP="009F31DE">
            <w:pPr>
              <w:rPr>
                <w:sz w:val="22"/>
                <w:szCs w:val="22"/>
              </w:rPr>
            </w:pPr>
            <w:r w:rsidRPr="00C057DF">
              <w:rPr>
                <w:sz w:val="22"/>
                <w:szCs w:val="22"/>
              </w:rPr>
              <w:t xml:space="preserve">Wózek medyczny, wyposażony w min. 2 półki, oraz minimum 3 stalowe kuwety do dezynfekcji oraz przechowywania </w:t>
            </w:r>
            <w:proofErr w:type="spellStart"/>
            <w:r w:rsidRPr="00C057DF">
              <w:rPr>
                <w:sz w:val="22"/>
                <w:szCs w:val="22"/>
              </w:rPr>
              <w:t>wideonosofaryngoskop</w:t>
            </w:r>
            <w:r>
              <w:rPr>
                <w:sz w:val="22"/>
                <w:szCs w:val="22"/>
              </w:rPr>
              <w:t>u</w:t>
            </w:r>
            <w:proofErr w:type="spellEnd"/>
            <w:r>
              <w:rPr>
                <w:sz w:val="22"/>
                <w:szCs w:val="22"/>
              </w:rPr>
              <w:t>, przytwierdzone do ramy wózka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640F21" w14:textId="183821AC" w:rsidR="00D83172" w:rsidRPr="008B3AA8" w:rsidRDefault="00C057DF" w:rsidP="00D83172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E01D00">
              <w:rPr>
                <w:sz w:val="22"/>
                <w:szCs w:val="22"/>
              </w:rPr>
              <w:t>, podać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DA5255A" w14:textId="77777777" w:rsidR="00D83172" w:rsidRPr="008B3AA8" w:rsidRDefault="00D8317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83172" w14:paraId="00973670" w14:textId="77777777" w:rsidTr="00C057DF">
        <w:trPr>
          <w:trHeight w:val="365"/>
        </w:trPr>
        <w:tc>
          <w:tcPr>
            <w:tcW w:w="12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9CC281" w14:textId="77777777" w:rsidR="00D83172" w:rsidRPr="008B3AA8" w:rsidRDefault="00C057DF" w:rsidP="00183740">
            <w:pPr>
              <w:tabs>
                <w:tab w:val="left" w:pos="360"/>
              </w:tabs>
              <w:overflowPunct w:val="0"/>
              <w:spacing w:line="276" w:lineRule="auto"/>
              <w:ind w:left="-13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4.2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DE90CD" w14:textId="77777777" w:rsidR="00D83172" w:rsidRPr="00D83172" w:rsidRDefault="00C057DF" w:rsidP="009F31DE">
            <w:pPr>
              <w:rPr>
                <w:sz w:val="22"/>
                <w:szCs w:val="22"/>
              </w:rPr>
            </w:pPr>
            <w:r w:rsidRPr="00C057DF">
              <w:rPr>
                <w:sz w:val="22"/>
                <w:szCs w:val="22"/>
              </w:rPr>
              <w:t xml:space="preserve">Kuwety ze stali nierdzewnej o długości 40 cm -45 cm (część stalowa - walec), z rozkręcanym dnem (wykonanym z tworzywa sztucznego) w celu lepszego czyszczenia; na drugim końcu walca nakręcana część wykonana z tworzywa sztucznego, wyprofilowana w kształcie odpowiadającym kształtowi uchwytu </w:t>
            </w:r>
            <w:proofErr w:type="spellStart"/>
            <w:r w:rsidRPr="00C057DF">
              <w:rPr>
                <w:sz w:val="22"/>
                <w:szCs w:val="22"/>
              </w:rPr>
              <w:t>wideoendoskopu</w:t>
            </w:r>
            <w:proofErr w:type="spellEnd"/>
            <w:r w:rsidRPr="00C057DF">
              <w:rPr>
                <w:sz w:val="22"/>
                <w:szCs w:val="22"/>
              </w:rPr>
              <w:t xml:space="preserve"> z przykręcanym metalowym stabilizatorem endoskopu pozwalającym utrzymywać uchwyt w optymalnym położeniu. Wysokość nakręcanej części z tworzywa sztucznego w przedziale  8-10 cm.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65DC51" w14:textId="77777777" w:rsidR="00D83172" w:rsidRPr="008B3AA8" w:rsidRDefault="00C057DF" w:rsidP="00D83172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9C1F314" w14:textId="77777777" w:rsidR="00D83172" w:rsidRPr="008B3AA8" w:rsidRDefault="00D8317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25F1862" w14:textId="77777777" w:rsidR="006276B3" w:rsidRDefault="006276B3">
      <w:pPr>
        <w:rPr>
          <w:sz w:val="24"/>
          <w:szCs w:val="24"/>
        </w:rPr>
      </w:pPr>
      <w:bookmarkStart w:id="0" w:name="_GoBack"/>
      <w:bookmarkEnd w:id="0"/>
    </w:p>
    <w:p w14:paraId="653716BB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150CE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0D6FE771" w14:textId="77777777" w:rsidR="0075350F" w:rsidRDefault="0075350F"/>
    <w:p w14:paraId="190E95EC" w14:textId="176D4B65" w:rsidR="003D026C" w:rsidRDefault="003D026C">
      <w:pPr>
        <w:rPr>
          <w:color w:val="FF0000"/>
        </w:rPr>
      </w:pPr>
    </w:p>
    <w:p w14:paraId="08FA7F49" w14:textId="77777777" w:rsidR="00960485" w:rsidRPr="003D026C" w:rsidRDefault="00960485">
      <w:pPr>
        <w:rPr>
          <w:color w:val="FF0000"/>
        </w:rPr>
      </w:pPr>
    </w:p>
    <w:p w14:paraId="5F9A373B" w14:textId="77777777" w:rsidR="006276B3" w:rsidRDefault="006276B3"/>
    <w:p w14:paraId="3A45AAA0" w14:textId="77777777" w:rsidR="0061212F" w:rsidRDefault="0061212F"/>
    <w:p w14:paraId="1DAF8DF3" w14:textId="77777777" w:rsidR="006276B3" w:rsidRDefault="006276B3"/>
    <w:p w14:paraId="72E5643D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65436481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65739BE0" w14:textId="77777777" w:rsidR="0075350F" w:rsidRDefault="006276B3" w:rsidP="006276B3">
      <w:pPr>
        <w:ind w:left="6096"/>
      </w:pPr>
      <w:r>
        <w:t>do reprezentowania Wykonawcy</w:t>
      </w:r>
    </w:p>
    <w:p w14:paraId="1F2FD99C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FD669" w14:textId="77777777" w:rsidR="00DD55FA" w:rsidRDefault="00DD55FA" w:rsidP="007C6342">
      <w:r>
        <w:separator/>
      </w:r>
    </w:p>
  </w:endnote>
  <w:endnote w:type="continuationSeparator" w:id="0">
    <w:p w14:paraId="4475357E" w14:textId="77777777" w:rsidR="00DD55FA" w:rsidRDefault="00DD55FA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F1743" w14:textId="77777777" w:rsidR="00DD55FA" w:rsidRDefault="00DD55FA" w:rsidP="007C6342">
      <w:r>
        <w:separator/>
      </w:r>
    </w:p>
  </w:footnote>
  <w:footnote w:type="continuationSeparator" w:id="0">
    <w:p w14:paraId="7295E2E5" w14:textId="77777777" w:rsidR="00DD55FA" w:rsidRDefault="00DD55FA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994BA" w14:textId="77777777" w:rsidR="007C6342" w:rsidRDefault="007C6342">
    <w:pPr>
      <w:pStyle w:val="Nagwek"/>
    </w:pPr>
  </w:p>
  <w:p w14:paraId="7FAB8DF7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3B8E26BB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73723A3C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001FC6C7" wp14:editId="5E1961EF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0030F33B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0ECEFD06" wp14:editId="35CD7FF5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70EFD368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7B2BD5C" wp14:editId="0F1746B8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770B603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6546F"/>
    <w:rsid w:val="00145511"/>
    <w:rsid w:val="00150CE2"/>
    <w:rsid w:val="00183740"/>
    <w:rsid w:val="001926B0"/>
    <w:rsid w:val="00275CC9"/>
    <w:rsid w:val="003C2A6B"/>
    <w:rsid w:val="003D026C"/>
    <w:rsid w:val="0061212F"/>
    <w:rsid w:val="006276B3"/>
    <w:rsid w:val="006B0A82"/>
    <w:rsid w:val="007228ED"/>
    <w:rsid w:val="0075350F"/>
    <w:rsid w:val="00772FB4"/>
    <w:rsid w:val="007C6342"/>
    <w:rsid w:val="007D15C4"/>
    <w:rsid w:val="007D41FB"/>
    <w:rsid w:val="007D49CF"/>
    <w:rsid w:val="008B3AA8"/>
    <w:rsid w:val="00953F32"/>
    <w:rsid w:val="00960485"/>
    <w:rsid w:val="009F31DE"/>
    <w:rsid w:val="009F7A71"/>
    <w:rsid w:val="00A01B09"/>
    <w:rsid w:val="00AB2652"/>
    <w:rsid w:val="00B83967"/>
    <w:rsid w:val="00C057DF"/>
    <w:rsid w:val="00D83172"/>
    <w:rsid w:val="00DD55FA"/>
    <w:rsid w:val="00E01D00"/>
    <w:rsid w:val="00E56D25"/>
    <w:rsid w:val="00EB6F99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F4892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13</cp:revision>
  <cp:lastPrinted>2020-10-05T12:00:00Z</cp:lastPrinted>
  <dcterms:created xsi:type="dcterms:W3CDTF">2020-10-29T09:22:00Z</dcterms:created>
  <dcterms:modified xsi:type="dcterms:W3CDTF">2020-12-08T08:10:00Z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