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8C3AF" w14:textId="2BE5184C" w:rsidR="008A03E0" w:rsidRPr="00B5583B" w:rsidRDefault="00B5583B" w:rsidP="00B5583B">
      <w:pPr>
        <w:spacing w:after="0" w:line="240" w:lineRule="auto"/>
        <w:rPr>
          <w:rFonts w:ascii="Arial Narrow" w:hAnsi="Arial Narrow"/>
        </w:rPr>
      </w:pPr>
      <w:r w:rsidRPr="00B5583B">
        <w:rPr>
          <w:rFonts w:ascii="Arial Narrow" w:hAnsi="Arial Narrow"/>
        </w:rPr>
        <w:t>Załącznik nr 1</w:t>
      </w:r>
    </w:p>
    <w:p w14:paraId="0EE1D84E" w14:textId="4738F544" w:rsidR="00B5583B" w:rsidRPr="00B5583B" w:rsidRDefault="00B5583B" w:rsidP="00B5583B">
      <w:pPr>
        <w:spacing w:after="0" w:line="240" w:lineRule="auto"/>
        <w:rPr>
          <w:rFonts w:ascii="Arial Narrow" w:hAnsi="Arial Narrow"/>
        </w:rPr>
      </w:pPr>
      <w:r w:rsidRPr="00B5583B">
        <w:rPr>
          <w:rFonts w:ascii="Arial Narrow" w:hAnsi="Arial Narrow"/>
        </w:rPr>
        <w:t>do Formularza Oferty</w:t>
      </w:r>
    </w:p>
    <w:p w14:paraId="303363FB" w14:textId="3E8F6E53" w:rsidR="00B36C29" w:rsidRPr="00B5583B" w:rsidRDefault="00B36C29">
      <w:pPr>
        <w:rPr>
          <w:rFonts w:ascii="Arial Narrow" w:hAnsi="Arial Narrow"/>
        </w:rPr>
      </w:pPr>
    </w:p>
    <w:p w14:paraId="1F882D56" w14:textId="269D9D64" w:rsidR="00B36C29" w:rsidRDefault="00B36C29"/>
    <w:p w14:paraId="07ABCF83" w14:textId="52759EDC" w:rsidR="00B36C29" w:rsidRPr="00B5583B" w:rsidRDefault="00B5583B" w:rsidP="00B5583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5583B">
        <w:rPr>
          <w:rFonts w:ascii="Arial Narrow" w:hAnsi="Arial Narrow"/>
          <w:b/>
          <w:bCs/>
          <w:sz w:val="28"/>
          <w:szCs w:val="28"/>
        </w:rPr>
        <w:t>Zestawienie Wyników Funduszu</w:t>
      </w:r>
    </w:p>
    <w:tbl>
      <w:tblPr>
        <w:tblStyle w:val="Tabela-Siatka"/>
        <w:tblW w:w="14022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993"/>
        <w:gridCol w:w="864"/>
        <w:gridCol w:w="747"/>
        <w:gridCol w:w="1168"/>
        <w:gridCol w:w="747"/>
        <w:gridCol w:w="747"/>
        <w:gridCol w:w="1168"/>
        <w:gridCol w:w="747"/>
        <w:gridCol w:w="747"/>
        <w:gridCol w:w="1168"/>
        <w:gridCol w:w="747"/>
        <w:gridCol w:w="747"/>
        <w:gridCol w:w="1141"/>
        <w:gridCol w:w="28"/>
      </w:tblGrid>
      <w:tr w:rsidR="00B91246" w:rsidRPr="00B91246" w14:paraId="3F8D2A71" w14:textId="4AD9DD0A" w:rsidTr="00B91246">
        <w:trPr>
          <w:gridAfter w:val="1"/>
          <w:wAfter w:w="28" w:type="dxa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61477F38" w14:textId="3D926435" w:rsidR="00B91246" w:rsidRPr="00B91246" w:rsidRDefault="00B91246">
            <w:pPr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Rodzaj funduszu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0EE86DC6" w14:textId="095DEB73" w:rsidR="00B91246" w:rsidRPr="00B91246" w:rsidRDefault="00B91246">
            <w:pPr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 xml:space="preserve">Nazwa funduszu 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37ECAA23" w14:textId="24AF03F1" w:rsidR="00B91246" w:rsidRPr="00B91246" w:rsidRDefault="00B91246">
            <w:pPr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Skrócona nazwa funduszu</w:t>
            </w:r>
          </w:p>
        </w:tc>
        <w:tc>
          <w:tcPr>
            <w:tcW w:w="10738" w:type="dxa"/>
            <w:gridSpan w:val="12"/>
            <w:shd w:val="clear" w:color="auto" w:fill="D9D9D9" w:themeFill="background1" w:themeFillShade="D9"/>
          </w:tcPr>
          <w:p w14:paraId="2301A5EC" w14:textId="118DED04" w:rsidR="00B91246" w:rsidRPr="00B91246" w:rsidRDefault="00B91246" w:rsidP="00B36C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B91246">
              <w:rPr>
                <w:rFonts w:ascii="Arial Narrow" w:hAnsi="Arial Narrow"/>
                <w:b/>
                <w:bCs/>
              </w:rPr>
              <w:t>na 31.12.2019 r.</w:t>
            </w:r>
          </w:p>
        </w:tc>
      </w:tr>
      <w:tr w:rsidR="00B91246" w14:paraId="07E84004" w14:textId="114707AF" w:rsidTr="00B91246">
        <w:tc>
          <w:tcPr>
            <w:tcW w:w="1413" w:type="dxa"/>
            <w:vMerge/>
            <w:shd w:val="clear" w:color="auto" w:fill="D9D9D9" w:themeFill="background1" w:themeFillShade="D9"/>
          </w:tcPr>
          <w:p w14:paraId="2683CFC9" w14:textId="77777777" w:rsidR="00B91246" w:rsidRPr="00B91246" w:rsidRDefault="00B9124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29C72258" w14:textId="77777777" w:rsidR="00B91246" w:rsidRPr="00B91246" w:rsidRDefault="00B91246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54046473" w14:textId="77777777" w:rsidR="00B91246" w:rsidRPr="00B91246" w:rsidRDefault="00B91246">
            <w:pPr>
              <w:rPr>
                <w:rFonts w:ascii="Arial Narrow" w:hAnsi="Arial Narrow"/>
              </w:rPr>
            </w:pPr>
          </w:p>
        </w:tc>
        <w:tc>
          <w:tcPr>
            <w:tcW w:w="2779" w:type="dxa"/>
            <w:gridSpan w:val="3"/>
            <w:shd w:val="clear" w:color="auto" w:fill="D9D9D9" w:themeFill="background1" w:themeFillShade="D9"/>
          </w:tcPr>
          <w:p w14:paraId="099A3BDE" w14:textId="70BD084F" w:rsidR="00B91246" w:rsidRPr="00B91246" w:rsidRDefault="00B91246" w:rsidP="00B912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za okres 12 miesięcy</w:t>
            </w:r>
          </w:p>
        </w:tc>
        <w:tc>
          <w:tcPr>
            <w:tcW w:w="2662" w:type="dxa"/>
            <w:gridSpan w:val="3"/>
            <w:shd w:val="clear" w:color="auto" w:fill="D9D9D9" w:themeFill="background1" w:themeFillShade="D9"/>
          </w:tcPr>
          <w:p w14:paraId="6AC65BB8" w14:textId="2CEDC572" w:rsidR="00B91246" w:rsidRPr="00B91246" w:rsidRDefault="00B91246" w:rsidP="00B912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za okres 36 miesięcy</w:t>
            </w:r>
          </w:p>
        </w:tc>
        <w:tc>
          <w:tcPr>
            <w:tcW w:w="2662" w:type="dxa"/>
            <w:gridSpan w:val="3"/>
            <w:shd w:val="clear" w:color="auto" w:fill="D9D9D9" w:themeFill="background1" w:themeFillShade="D9"/>
          </w:tcPr>
          <w:p w14:paraId="7DF05523" w14:textId="2E669F44" w:rsidR="00B91246" w:rsidRPr="00B91246" w:rsidRDefault="00B91246" w:rsidP="00B912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za okres 60 miesięcy</w:t>
            </w:r>
          </w:p>
        </w:tc>
        <w:tc>
          <w:tcPr>
            <w:tcW w:w="2663" w:type="dxa"/>
            <w:gridSpan w:val="4"/>
            <w:shd w:val="clear" w:color="auto" w:fill="D9D9D9" w:themeFill="background1" w:themeFillShade="D9"/>
          </w:tcPr>
          <w:p w14:paraId="6CFE79D9" w14:textId="300949A5" w:rsidR="00B91246" w:rsidRPr="00B91246" w:rsidRDefault="00B91246" w:rsidP="00B912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za okres 120 miesięcy</w:t>
            </w:r>
          </w:p>
        </w:tc>
      </w:tr>
      <w:tr w:rsidR="00B91246" w14:paraId="59A931BD" w14:textId="7995594A" w:rsidTr="00B91246">
        <w:tc>
          <w:tcPr>
            <w:tcW w:w="1413" w:type="dxa"/>
            <w:vMerge/>
            <w:shd w:val="clear" w:color="auto" w:fill="D9D9D9" w:themeFill="background1" w:themeFillShade="D9"/>
          </w:tcPr>
          <w:p w14:paraId="0C302702" w14:textId="77777777" w:rsidR="00B91246" w:rsidRPr="00B91246" w:rsidRDefault="00B9124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2E55316C" w14:textId="77777777" w:rsidR="00B91246" w:rsidRPr="00B91246" w:rsidRDefault="00B91246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57E3F5BB" w14:textId="77777777" w:rsidR="00B91246" w:rsidRPr="00B91246" w:rsidRDefault="00B91246">
            <w:pPr>
              <w:rPr>
                <w:rFonts w:ascii="Arial Narrow" w:hAnsi="Arial Narrow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5F56F0A8" w14:textId="30F84AA4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255B4230" w14:textId="784A6CC2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 do WIG (%)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3906E728" w14:textId="25165D6F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 do wskaźnika inflacji ogłoszonego przez GUS (%)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58DEBA74" w14:textId="1B4B53A1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73A3D492" w14:textId="1A6AF152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 do WIG (%)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6F1EDC79" w14:textId="5188E1F1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 do wskaźnika inflacji ogłoszonego przez GUS (%)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0DFCFC7B" w14:textId="33D404B5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3D6EAB2A" w14:textId="13B8A983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 do WIG (%)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6283A004" w14:textId="334F4B29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 do wskaźnika inflacji ogłoszonego przez GUS (%)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7FADA8BE" w14:textId="67C55696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16B597F8" w14:textId="2ABF3100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 do WIG (%)</w:t>
            </w:r>
          </w:p>
        </w:tc>
        <w:tc>
          <w:tcPr>
            <w:tcW w:w="1169" w:type="dxa"/>
            <w:gridSpan w:val="2"/>
            <w:shd w:val="clear" w:color="auto" w:fill="D9D9D9" w:themeFill="background1" w:themeFillShade="D9"/>
          </w:tcPr>
          <w:p w14:paraId="718F559B" w14:textId="2D96884A" w:rsidR="00B91246" w:rsidRPr="00B91246" w:rsidRDefault="00B91246" w:rsidP="00B36C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/>
                <w:sz w:val="18"/>
                <w:szCs w:val="18"/>
              </w:rPr>
              <w:t>Stopa zwrotu do wskaźnika inflacji ogłoszonego przez GUS (%)</w:t>
            </w:r>
          </w:p>
        </w:tc>
      </w:tr>
      <w:tr w:rsidR="00B91246" w14:paraId="357AD4BB" w14:textId="77777777" w:rsidTr="00B91246">
        <w:tc>
          <w:tcPr>
            <w:tcW w:w="1413" w:type="dxa"/>
          </w:tcPr>
          <w:p w14:paraId="0EC21758" w14:textId="58475EA7" w:rsidR="00B91246" w:rsidRPr="00B91246" w:rsidRDefault="00B91246">
            <w:pPr>
              <w:rPr>
                <w:rFonts w:ascii="Arial Narrow" w:hAnsi="Arial Narrow"/>
                <w:sz w:val="18"/>
                <w:szCs w:val="18"/>
              </w:rPr>
            </w:pPr>
            <w:r w:rsidRPr="00B91246">
              <w:rPr>
                <w:rFonts w:ascii="Arial Narrow" w:hAnsi="Arial Narrow" w:cstheme="minorHAnsi"/>
                <w:sz w:val="18"/>
                <w:szCs w:val="18"/>
              </w:rPr>
              <w:t>Fundusz rekomendowany (najbardziej podobny do struktury PPK</w:t>
            </w:r>
            <w:r w:rsidRPr="00B91246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47064FD4" w14:textId="77777777" w:rsidR="00B91246" w:rsidRPr="00B91246" w:rsidRDefault="00B91246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0233E537" w14:textId="77777777" w:rsidR="00B91246" w:rsidRPr="00B91246" w:rsidRDefault="00B91246">
            <w:pPr>
              <w:rPr>
                <w:rFonts w:ascii="Arial Narrow" w:hAnsi="Arial Narrow"/>
              </w:rPr>
            </w:pPr>
          </w:p>
        </w:tc>
        <w:tc>
          <w:tcPr>
            <w:tcW w:w="864" w:type="dxa"/>
          </w:tcPr>
          <w:p w14:paraId="1BED30EB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</w:tcPr>
          <w:p w14:paraId="757A7B37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6D5E7A3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</w:tcPr>
          <w:p w14:paraId="07243F65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</w:tcPr>
          <w:p w14:paraId="14A0BDD1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59EB046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</w:tcPr>
          <w:p w14:paraId="63DD53DB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</w:tcPr>
          <w:p w14:paraId="3CE6DE16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FE2D08C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</w:tcPr>
          <w:p w14:paraId="3B6793E7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7" w:type="dxa"/>
          </w:tcPr>
          <w:p w14:paraId="0FA1E74D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gridSpan w:val="2"/>
          </w:tcPr>
          <w:p w14:paraId="51333B68" w14:textId="77777777" w:rsidR="00B91246" w:rsidRPr="00B91246" w:rsidRDefault="00B91246" w:rsidP="00B36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022117D" w14:textId="77777777" w:rsidR="00B36C29" w:rsidRDefault="00B36C29"/>
    <w:p w14:paraId="21125288" w14:textId="56F4E912" w:rsidR="00B36C29" w:rsidRDefault="00B36C29"/>
    <w:p w14:paraId="2B9836D7" w14:textId="27D2B6C1" w:rsidR="00B5583B" w:rsidRPr="00B5583B" w:rsidRDefault="00B5583B" w:rsidP="00B5583B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5583B">
        <w:rPr>
          <w:rFonts w:ascii="Arial Narrow" w:hAnsi="Arial Narrow"/>
          <w:color w:val="FF0000"/>
          <w:sz w:val="24"/>
          <w:szCs w:val="24"/>
        </w:rPr>
        <w:t>Oferent zobowiązany jest do przedstawienia stóp zwrotu wskazanego przez siebie funduszu najbardziej podobnego do struktury i zasad zarządzania PPK</w:t>
      </w:r>
    </w:p>
    <w:p w14:paraId="4CAC7F1C" w14:textId="77777777" w:rsidR="00B5583B" w:rsidRDefault="00B5583B" w:rsidP="00B5583B">
      <w:pPr>
        <w:rPr>
          <w:rFonts w:ascii="Arial Narrow" w:hAnsi="Arial Narrow"/>
          <w:sz w:val="24"/>
          <w:szCs w:val="24"/>
        </w:rPr>
      </w:pPr>
    </w:p>
    <w:p w14:paraId="0D20C37D" w14:textId="68F3E2BF" w:rsidR="00B5583B" w:rsidRPr="00B5583B" w:rsidRDefault="00B5583B" w:rsidP="00B5583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583B">
        <w:rPr>
          <w:rFonts w:ascii="Arial Narrow" w:hAnsi="Arial Narrow"/>
          <w:sz w:val="24"/>
          <w:szCs w:val="24"/>
        </w:rPr>
        <w:t>* stopa zwrotu do WIG</w:t>
      </w:r>
      <w:r>
        <w:rPr>
          <w:rFonts w:ascii="Arial Narrow" w:hAnsi="Arial Narrow"/>
          <w:sz w:val="24"/>
          <w:szCs w:val="24"/>
        </w:rPr>
        <w:t xml:space="preserve"> -</w:t>
      </w:r>
      <w:r w:rsidRPr="00B5583B">
        <w:rPr>
          <w:rFonts w:ascii="Arial Narrow" w:hAnsi="Arial Narrow"/>
          <w:sz w:val="24"/>
          <w:szCs w:val="24"/>
        </w:rPr>
        <w:t xml:space="preserve"> różnica pomiędzy stopą zwrotu badanej oferty a stopą zwrotu indeksu WIG</w:t>
      </w:r>
      <w:r>
        <w:rPr>
          <w:rFonts w:ascii="Arial Narrow" w:hAnsi="Arial Narrow"/>
          <w:sz w:val="24"/>
          <w:szCs w:val="24"/>
        </w:rPr>
        <w:t xml:space="preserve"> </w:t>
      </w:r>
      <w:r w:rsidRPr="00B5583B">
        <w:rPr>
          <w:rFonts w:ascii="Arial Narrow" w:hAnsi="Arial Narrow"/>
          <w:sz w:val="24"/>
          <w:szCs w:val="24"/>
        </w:rPr>
        <w:t>z tego samego okresu</w:t>
      </w:r>
    </w:p>
    <w:p w14:paraId="63E6C197" w14:textId="6E894D0E" w:rsidR="00B36C29" w:rsidRPr="00B5583B" w:rsidRDefault="00B5583B" w:rsidP="00B5583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583B">
        <w:rPr>
          <w:rFonts w:ascii="Arial Narrow" w:hAnsi="Arial Narrow"/>
          <w:sz w:val="24"/>
          <w:szCs w:val="24"/>
        </w:rPr>
        <w:t xml:space="preserve">** </w:t>
      </w:r>
      <w:r>
        <w:rPr>
          <w:rFonts w:ascii="Arial Narrow" w:hAnsi="Arial Narrow"/>
          <w:sz w:val="24"/>
          <w:szCs w:val="24"/>
        </w:rPr>
        <w:t>s</w:t>
      </w:r>
      <w:r w:rsidRPr="00B5583B">
        <w:rPr>
          <w:rFonts w:ascii="Arial Narrow" w:hAnsi="Arial Narrow"/>
          <w:sz w:val="24"/>
          <w:szCs w:val="24"/>
        </w:rPr>
        <w:t>topa zwrotu do wskaźnika inflacji ogłoszonej przez GUS</w:t>
      </w:r>
      <w:r>
        <w:rPr>
          <w:rFonts w:ascii="Arial Narrow" w:hAnsi="Arial Narrow"/>
          <w:sz w:val="24"/>
          <w:szCs w:val="24"/>
        </w:rPr>
        <w:t xml:space="preserve"> -</w:t>
      </w:r>
      <w:r w:rsidRPr="00B5583B">
        <w:rPr>
          <w:rFonts w:ascii="Arial Narrow" w:hAnsi="Arial Narrow"/>
          <w:sz w:val="24"/>
          <w:szCs w:val="24"/>
        </w:rPr>
        <w:t xml:space="preserve"> różnica pomiędzy stopą zwrotu badanej</w:t>
      </w:r>
      <w:r>
        <w:rPr>
          <w:rFonts w:ascii="Arial Narrow" w:hAnsi="Arial Narrow"/>
          <w:sz w:val="24"/>
          <w:szCs w:val="24"/>
        </w:rPr>
        <w:t xml:space="preserve"> </w:t>
      </w:r>
      <w:r w:rsidRPr="00B5583B">
        <w:rPr>
          <w:rFonts w:ascii="Arial Narrow" w:hAnsi="Arial Narrow"/>
          <w:sz w:val="24"/>
          <w:szCs w:val="24"/>
        </w:rPr>
        <w:t>oferty a wskaźnikiem inflacji z tego samego okresu</w:t>
      </w:r>
    </w:p>
    <w:sectPr w:rsidR="00B36C29" w:rsidRPr="00B5583B" w:rsidSect="00B36C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9"/>
    <w:rsid w:val="00222147"/>
    <w:rsid w:val="008A03E0"/>
    <w:rsid w:val="00B36C29"/>
    <w:rsid w:val="00B5583B"/>
    <w:rsid w:val="00B91246"/>
    <w:rsid w:val="00C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4952"/>
  <w15:chartTrackingRefBased/>
  <w15:docId w15:val="{EDB73B1E-F896-4CC4-8DB1-20DD842A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Nosowicz</dc:creator>
  <cp:keywords/>
  <dc:description/>
  <cp:lastModifiedBy>Małgorzata Nosowicz</cp:lastModifiedBy>
  <cp:revision>2</cp:revision>
  <dcterms:created xsi:type="dcterms:W3CDTF">2021-01-27T11:47:00Z</dcterms:created>
  <dcterms:modified xsi:type="dcterms:W3CDTF">2021-01-27T11:47:00Z</dcterms:modified>
</cp:coreProperties>
</file>