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B35ECA">
        <w:rPr>
          <w:sz w:val="28"/>
        </w:rPr>
        <w:t>SZCZEGÓŁOWA SPECYFIKACJA TECHNICZNA</w:t>
      </w: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35ECA">
        <w:rPr>
          <w:b/>
          <w:sz w:val="28"/>
          <w:szCs w:val="28"/>
        </w:rPr>
        <w:t xml:space="preserve">D-04.04.02.  </w:t>
      </w:r>
    </w:p>
    <w:p w:rsidR="00B35ECA" w:rsidRPr="00B35ECA" w:rsidRDefault="00B35ECA" w:rsidP="00B35ECA">
      <w:pPr>
        <w:pStyle w:val="Nagwek1"/>
        <w:keepNext w:val="0"/>
        <w:tabs>
          <w:tab w:val="left" w:pos="0"/>
        </w:tabs>
        <w:overflowPunct/>
        <w:adjustRightInd/>
        <w:spacing w:line="360" w:lineRule="auto"/>
        <w:jc w:val="center"/>
        <w:rPr>
          <w:sz w:val="28"/>
          <w:szCs w:val="28"/>
        </w:rPr>
      </w:pPr>
      <w:bookmarkStart w:id="0" w:name="_Toc92690688"/>
      <w:bookmarkStart w:id="1" w:name="_Toc122330327"/>
      <w:r w:rsidRPr="00B35ECA">
        <w:rPr>
          <w:sz w:val="28"/>
          <w:szCs w:val="28"/>
        </w:rPr>
        <w:t xml:space="preserve">PODBUDOWA   Z   KRUSZYWA   ŁAMANEGO   </w:t>
      </w:r>
      <w:r w:rsidRPr="00B35ECA">
        <w:rPr>
          <w:sz w:val="28"/>
          <w:szCs w:val="28"/>
        </w:rPr>
        <w:br/>
        <w:t>STABILIZOWANEGO   MECHANICZNIE</w:t>
      </w:r>
      <w:bookmarkEnd w:id="0"/>
      <w:bookmarkEnd w:id="1"/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  <w:r w:rsidRPr="00B35ECA">
        <w:rPr>
          <w:b/>
          <w:sz w:val="28"/>
        </w:rPr>
        <w:t> </w:t>
      </w: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B35ECA" w:rsidRDefault="00B35ECA" w:rsidP="00B35ECA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B35ECA" w:rsidRDefault="00B35ECA" w:rsidP="00B35ECA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B35ECA" w:rsidRDefault="00B35ECA" w:rsidP="00B35ECA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lastRenderedPageBreak/>
        <w:t>1. WSTĘP</w:t>
      </w:r>
    </w:p>
    <w:p w:rsidR="00B35ECA" w:rsidRPr="00B35ECA" w:rsidRDefault="00B35ECA" w:rsidP="00B35ECA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B35ECA">
        <w:rPr>
          <w:b/>
          <w:sz w:val="20"/>
          <w:szCs w:val="20"/>
        </w:rPr>
        <w:t>1.1.Przedmiot SST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>Przedmiotem niniejszej specyfikacji technicznej (ST) są wymagania ogólne dotyczące wykonania i odbioru robót zwi</w:t>
      </w:r>
      <w:r w:rsidRPr="00B35ECA">
        <w:rPr>
          <w:sz w:val="20"/>
          <w:szCs w:val="20"/>
        </w:rPr>
        <w:t>ą</w:t>
      </w:r>
      <w:r w:rsidRPr="00B35ECA">
        <w:rPr>
          <w:sz w:val="20"/>
          <w:szCs w:val="20"/>
        </w:rPr>
        <w:t>zanych z wykonywaniem podbudowy z kruszywa łamanego stabilizowanych mechanicznie.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1.2. Zakres stosowania ST</w:t>
      </w:r>
    </w:p>
    <w:p w:rsidR="00B35ECA" w:rsidRPr="00B35ECA" w:rsidRDefault="00B35ECA" w:rsidP="00B35ECA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B35ECA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B35ECA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B35ECA">
        <w:rPr>
          <w:b/>
          <w:i/>
          <w:sz w:val="20"/>
          <w:szCs w:val="20"/>
        </w:rPr>
        <w:t>”</w:t>
      </w:r>
      <w:r w:rsidRPr="00B35ECA">
        <w:rPr>
          <w:i/>
          <w:sz w:val="20"/>
          <w:szCs w:val="20"/>
        </w:rPr>
        <w:t>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1.3. Zakres robót objętych ST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Ustalenia zawarte w niniejszej specyfikacji dotyczą zasad</w:t>
      </w:r>
      <w:r>
        <w:rPr>
          <w:sz w:val="20"/>
          <w:szCs w:val="20"/>
        </w:rPr>
        <w:t xml:space="preserve"> prowadzenia robót związanych z </w:t>
      </w:r>
      <w:r w:rsidRPr="00B35ECA">
        <w:rPr>
          <w:sz w:val="20"/>
          <w:szCs w:val="20"/>
        </w:rPr>
        <w:t>wykonywaniem podbudowy z kruszywa łamanego stabilizowanego mechanicznie :</w:t>
      </w:r>
    </w:p>
    <w:p w:rsidR="00B35ECA" w:rsidRPr="00B35ECA" w:rsidRDefault="00B35ECA" w:rsidP="00B35ECA">
      <w:pPr>
        <w:pStyle w:val="Nagwek5"/>
        <w:numPr>
          <w:ilvl w:val="4"/>
          <w:numId w:val="0"/>
        </w:numPr>
        <w:tabs>
          <w:tab w:val="left" w:pos="284"/>
          <w:tab w:val="num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 w:after="0"/>
        <w:ind w:left="284" w:hanging="284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grubości 10cm na chodnikach usytuowanych bezpośrednio przy jezdni,</w:t>
      </w:r>
    </w:p>
    <w:p w:rsidR="00B35ECA" w:rsidRPr="00B35ECA" w:rsidRDefault="00B35ECA" w:rsidP="00B35ECA">
      <w:pPr>
        <w:pStyle w:val="Nagwek5"/>
        <w:numPr>
          <w:ilvl w:val="4"/>
          <w:numId w:val="0"/>
        </w:numPr>
        <w:tabs>
          <w:tab w:val="left" w:pos="284"/>
          <w:tab w:val="num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 w:after="0"/>
        <w:ind w:left="284" w:hanging="284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grubości 15cm na zjazdach indywidualnych,</w:t>
      </w:r>
    </w:p>
    <w:p w:rsidR="00B35ECA" w:rsidRPr="00B35ECA" w:rsidRDefault="00B35ECA" w:rsidP="00B35ECA">
      <w:pPr>
        <w:pStyle w:val="Nagwek5"/>
        <w:numPr>
          <w:ilvl w:val="4"/>
          <w:numId w:val="0"/>
        </w:numPr>
        <w:tabs>
          <w:tab w:val="left" w:pos="284"/>
          <w:tab w:val="num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 w:after="0"/>
        <w:ind w:left="284" w:hanging="284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 xml:space="preserve">grubości </w:t>
      </w:r>
      <w:smartTag w:uri="urn:schemas-microsoft-com:office:smarttags" w:element="metricconverter">
        <w:smartTagPr>
          <w:attr w:name="ProductID" w:val="20 cm"/>
        </w:smartTagPr>
        <w:r w:rsidRPr="00B35ECA">
          <w:rPr>
            <w:b w:val="0"/>
            <w:sz w:val="20"/>
            <w:szCs w:val="20"/>
          </w:rPr>
          <w:t>20 cm</w:t>
        </w:r>
      </w:smartTag>
      <w:r w:rsidRPr="00B35ECA">
        <w:rPr>
          <w:b w:val="0"/>
          <w:sz w:val="20"/>
          <w:szCs w:val="20"/>
        </w:rPr>
        <w:t xml:space="preserve"> na zjazdach publicznych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1.4. Określenia podstawowe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jc w:val="both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Podbudowa z kruszywa łamanego stabilizowanego mechanicznie - jedna lub więcej warstw zagęszczonej mieszanki, która stanowi warstwę nośną nawierzc</w:t>
      </w:r>
      <w:r w:rsidRPr="00B35ECA">
        <w:rPr>
          <w:b w:val="0"/>
          <w:sz w:val="20"/>
          <w:szCs w:val="20"/>
        </w:rPr>
        <w:t>h</w:t>
      </w:r>
      <w:r w:rsidRPr="00B35ECA">
        <w:rPr>
          <w:b w:val="0"/>
          <w:sz w:val="20"/>
          <w:szCs w:val="20"/>
        </w:rPr>
        <w:t>ni drogowej. Pozostałe określenia podstawowe są zgodne z obowiązującymi, odpowiednimi polskimi normami oraz z defin</w:t>
      </w:r>
      <w:r w:rsidRPr="00B35ECA">
        <w:rPr>
          <w:b w:val="0"/>
          <w:sz w:val="20"/>
          <w:szCs w:val="20"/>
        </w:rPr>
        <w:t>i</w:t>
      </w:r>
      <w:r w:rsidRPr="00B35ECA">
        <w:rPr>
          <w:b w:val="0"/>
          <w:sz w:val="20"/>
          <w:szCs w:val="20"/>
        </w:rPr>
        <w:t xml:space="preserve">cjami podanymi w ST D-04.04.00 „Podbudowa z kruszyw. Wymagania ogólne” </w:t>
      </w:r>
      <w:proofErr w:type="spellStart"/>
      <w:r w:rsidRPr="00B35ECA">
        <w:rPr>
          <w:b w:val="0"/>
          <w:sz w:val="20"/>
          <w:szCs w:val="20"/>
        </w:rPr>
        <w:t>pkt</w:t>
      </w:r>
      <w:proofErr w:type="spellEnd"/>
      <w:r w:rsidRPr="00B35ECA">
        <w:rPr>
          <w:b w:val="0"/>
          <w:sz w:val="20"/>
          <w:szCs w:val="20"/>
        </w:rPr>
        <w:t xml:space="preserve"> 1.4. 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1.5. Ogólne wymagania dotyczące robót</w:t>
      </w:r>
    </w:p>
    <w:p w:rsidR="00B35ECA" w:rsidRPr="00B35ECA" w:rsidRDefault="00B35ECA" w:rsidP="00B35ECA">
      <w:pPr>
        <w:pStyle w:val="tekstost"/>
      </w:pPr>
      <w:r w:rsidRPr="00B35ECA">
        <w:t xml:space="preserve">Ogólne wymagania dotyczące robót podano w ST D-00.00.00 „Wymagania ogólne” </w:t>
      </w:r>
      <w:proofErr w:type="spellStart"/>
      <w:r w:rsidRPr="00B35ECA">
        <w:t>pkt</w:t>
      </w:r>
      <w:proofErr w:type="spellEnd"/>
      <w:r w:rsidRPr="00B35ECA">
        <w:t xml:space="preserve"> 1.5.</w:t>
      </w:r>
    </w:p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t>2. MATERIAŁY</w:t>
      </w:r>
    </w:p>
    <w:p w:rsidR="00B35ECA" w:rsidRPr="00B35ECA" w:rsidRDefault="00B35ECA" w:rsidP="00B35ECA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B35ECA">
        <w:rPr>
          <w:b/>
          <w:sz w:val="20"/>
          <w:szCs w:val="20"/>
        </w:rPr>
        <w:t>2.1. Ogólne wymagania dotyczące materiałów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Ogólne wymagania dotyczące materiałów, ich pozyskiwania i składowania, podano w ST D-00.00.00 „Wym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 xml:space="preserve">gania ogólne”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2.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2.2. Rodzaje materiałów</w:t>
      </w:r>
    </w:p>
    <w:p w:rsidR="00B35ECA" w:rsidRPr="00B35ECA" w:rsidRDefault="00B35ECA" w:rsidP="00B35ECA">
      <w:pPr>
        <w:pStyle w:val="tekstost"/>
      </w:pPr>
      <w:r w:rsidRPr="00B35ECA">
        <w:t xml:space="preserve">Materiałem do wykonania podbudowy z kruszyw łamanych stabilizowanych mechanicznie powinno być kruszywo łamane, uzyskane w wyniku </w:t>
      </w:r>
      <w:proofErr w:type="spellStart"/>
      <w:r w:rsidRPr="00B35ECA">
        <w:t>przekruszenia</w:t>
      </w:r>
      <w:proofErr w:type="spellEnd"/>
      <w:r w:rsidRPr="00B35ECA">
        <w:t xml:space="preserve"> surowca skalnego lub kamieni narzutowych i otoczaków albo </w:t>
      </w:r>
      <w:proofErr w:type="spellStart"/>
      <w:r w:rsidRPr="00B35ECA">
        <w:t>ziarn</w:t>
      </w:r>
      <w:proofErr w:type="spellEnd"/>
      <w:r w:rsidRPr="00B35ECA">
        <w:t xml:space="preserve"> żwiru większych od </w:t>
      </w:r>
      <w:smartTag w:uri="urn:schemas-microsoft-com:office:smarttags" w:element="metricconverter">
        <w:smartTagPr>
          <w:attr w:name="ProductID" w:val="8 mm"/>
        </w:smartTagPr>
        <w:r w:rsidRPr="00B35ECA">
          <w:t xml:space="preserve">8 </w:t>
        </w:r>
        <w:proofErr w:type="spellStart"/>
        <w:r w:rsidRPr="00B35ECA">
          <w:t>mm</w:t>
        </w:r>
      </w:smartTag>
      <w:proofErr w:type="spellEnd"/>
      <w:r w:rsidRPr="00B35ECA">
        <w:t>. Kruszywo powinno być jednorodne bez zanieczyszczeń obcych i bez domieszek gliny.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2.3. Wymagania dla materiałów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>Krzywa uziarnienia kruszywa, określona według PN-B-06714-15 [3] powinna leżeć między krzywymi gr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>nicznymi pól dobrego uziarnienia podanymi na rysunku 1. Rysunek 1. Pole dobrego uziarnienia kruszyw przeznacz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>nych na podbudowy wykonywane metodą stabilizacji mechanicznej (pole pomiędzy krzywą 1-2  „kruszywo na podbudowę z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>sadniczą przewidziane do wykonania wg  niniejszej ST„) Do wykonania podbudowy z kruszywa łamanego stabilizowanego mechanicznie należy użyć kruszywa łam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 xml:space="preserve">nego:  </w:t>
      </w:r>
    </w:p>
    <w:p w:rsidR="00B35ECA" w:rsidRPr="00B35ECA" w:rsidRDefault="00B35ECA" w:rsidP="00B35ECA">
      <w:pPr>
        <w:pStyle w:val="Nagwek6"/>
        <w:numPr>
          <w:ilvl w:val="5"/>
          <w:numId w:val="0"/>
        </w:numPr>
        <w:tabs>
          <w:tab w:val="left" w:pos="0"/>
          <w:tab w:val="left" w:pos="284"/>
          <w:tab w:val="left" w:pos="567"/>
          <w:tab w:val="num" w:pos="851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ind w:left="284" w:hanging="284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 xml:space="preserve">0/31,5 mm  o zagęszczeniu </w:t>
      </w:r>
      <w:proofErr w:type="spellStart"/>
      <w:r w:rsidRPr="00B35ECA">
        <w:rPr>
          <w:b w:val="0"/>
          <w:sz w:val="20"/>
          <w:szCs w:val="20"/>
        </w:rPr>
        <w:t>Is</w:t>
      </w:r>
      <w:proofErr w:type="spellEnd"/>
      <w:r w:rsidRPr="00B35ECA">
        <w:rPr>
          <w:b w:val="0"/>
          <w:sz w:val="20"/>
          <w:szCs w:val="20"/>
        </w:rPr>
        <w:sym w:font="Symbol" w:char="F0B3"/>
      </w:r>
      <w:r w:rsidRPr="00B35ECA">
        <w:rPr>
          <w:b w:val="0"/>
          <w:sz w:val="20"/>
          <w:szCs w:val="20"/>
        </w:rPr>
        <w:t xml:space="preserve">1,0 i w </w:t>
      </w:r>
      <w:r w:rsidRPr="00B35ECA">
        <w:rPr>
          <w:b w:val="0"/>
          <w:sz w:val="20"/>
          <w:szCs w:val="20"/>
          <w:vertAlign w:val="subscript"/>
        </w:rPr>
        <w:t>noś</w:t>
      </w:r>
      <w:r w:rsidRPr="00B35ECA">
        <w:rPr>
          <w:b w:val="0"/>
          <w:sz w:val="20"/>
          <w:szCs w:val="20"/>
        </w:rPr>
        <w:sym w:font="Symbol" w:char="F0B3"/>
      </w:r>
      <w:r w:rsidRPr="00B35ECA">
        <w:rPr>
          <w:b w:val="0"/>
          <w:sz w:val="20"/>
          <w:szCs w:val="20"/>
        </w:rPr>
        <w:t>60 (dla podbudów chodnika i zjazdów)</w:t>
      </w:r>
    </w:p>
    <w:tbl>
      <w:tblPr>
        <w:tblpPr w:leftFromText="141" w:rightFromText="141" w:vertAnchor="text" w:horzAnchor="margin" w:tblpXSpec="right" w:tblpY="588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819"/>
        <w:gridCol w:w="2268"/>
        <w:gridCol w:w="2126"/>
      </w:tblGrid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Wymagania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left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Lp.</w:t>
            </w:r>
          </w:p>
        </w:tc>
        <w:tc>
          <w:tcPr>
            <w:tcW w:w="4819" w:type="dxa"/>
            <w:tcBorders>
              <w:left w:val="nil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Kruszywa łamane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Badania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left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</w:tc>
        <w:tc>
          <w:tcPr>
            <w:tcW w:w="4819" w:type="dxa"/>
            <w:tcBorders>
              <w:left w:val="nil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właściwości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Podbudowa</w:t>
            </w:r>
          </w:p>
        </w:tc>
        <w:tc>
          <w:tcPr>
            <w:tcW w:w="2126" w:type="dxa"/>
            <w:tcBorders>
              <w:left w:val="nil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według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</w:tc>
        <w:tc>
          <w:tcPr>
            <w:tcW w:w="4819" w:type="dxa"/>
            <w:tcBorders>
              <w:left w:val="nil"/>
              <w:bottom w:val="doub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zasad-nicza</w:t>
            </w:r>
          </w:p>
        </w:tc>
        <w:tc>
          <w:tcPr>
            <w:tcW w:w="2126" w:type="dxa"/>
            <w:tcBorders>
              <w:left w:val="nil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1</w:t>
            </w:r>
          </w:p>
        </w:tc>
        <w:tc>
          <w:tcPr>
            <w:tcW w:w="48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 xml:space="preserve">Zawartość </w:t>
            </w:r>
            <w:proofErr w:type="spellStart"/>
            <w:r w:rsidRPr="00B35ECA">
              <w:rPr>
                <w:sz w:val="20"/>
                <w:szCs w:val="20"/>
              </w:rPr>
              <w:t>ziarn</w:t>
            </w:r>
            <w:proofErr w:type="spellEnd"/>
            <w:r w:rsidRPr="00B35ECA">
              <w:rPr>
                <w:sz w:val="20"/>
                <w:szCs w:val="20"/>
              </w:rPr>
              <w:t xml:space="preserve"> mniejszych niż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B35ECA">
                <w:rPr>
                  <w:sz w:val="20"/>
                  <w:szCs w:val="20"/>
                </w:rPr>
                <w:t>0,075 mm</w:t>
              </w:r>
            </w:smartTag>
            <w:r w:rsidRPr="00B35ECA">
              <w:rPr>
                <w:sz w:val="20"/>
                <w:szCs w:val="20"/>
              </w:rPr>
              <w:t>, % (m/m)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od 2 do 10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PN-B-06714-15 [3]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Zawartość nadziarna, % (m/m), nie więcej niż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PN-B-06714-15 [3]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 xml:space="preserve">Zawartość </w:t>
            </w:r>
            <w:proofErr w:type="spellStart"/>
            <w:r w:rsidRPr="00B35ECA">
              <w:rPr>
                <w:sz w:val="20"/>
                <w:szCs w:val="20"/>
              </w:rPr>
              <w:t>ziarn</w:t>
            </w:r>
            <w:proofErr w:type="spellEnd"/>
            <w:r w:rsidRPr="00B35ECA">
              <w:rPr>
                <w:sz w:val="20"/>
                <w:szCs w:val="20"/>
              </w:rPr>
              <w:t xml:space="preserve"> nieforemnych %(m/m), nie więcej niż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35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PN-B-06714-16 [4]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Zawartość zanieczyszczeń organicznych, %(m/m), nie więcej niż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PN-B-04481 [1]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lastRenderedPageBreak/>
              <w:t>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 xml:space="preserve">Wskaźnik piaskowy po </w:t>
            </w:r>
            <w:proofErr w:type="spellStart"/>
            <w:r w:rsidRPr="00B35ECA">
              <w:rPr>
                <w:sz w:val="20"/>
                <w:szCs w:val="20"/>
              </w:rPr>
              <w:t>pięcio-krotnym</w:t>
            </w:r>
            <w:proofErr w:type="spellEnd"/>
            <w:r w:rsidRPr="00B35ECA">
              <w:rPr>
                <w:sz w:val="20"/>
                <w:szCs w:val="20"/>
              </w:rPr>
              <w:t xml:space="preserve"> zagęs</w:t>
            </w:r>
            <w:r w:rsidRPr="00B35ECA">
              <w:rPr>
                <w:sz w:val="20"/>
                <w:szCs w:val="20"/>
              </w:rPr>
              <w:t>z</w:t>
            </w:r>
            <w:r w:rsidRPr="00B35ECA">
              <w:rPr>
                <w:sz w:val="20"/>
                <w:szCs w:val="20"/>
              </w:rPr>
              <w:t>czeniu metodą I lub II wg PN-B-04481, 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od 30 do 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BN-64/8931-01 [26]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6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Ścieralność w bębnie Los Angeles</w:t>
            </w:r>
          </w:p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a) ścieralność całkowita po pełnej liczbie obr</w:t>
            </w:r>
            <w:r w:rsidRPr="00B35ECA">
              <w:rPr>
                <w:sz w:val="20"/>
                <w:szCs w:val="20"/>
              </w:rPr>
              <w:t>o</w:t>
            </w:r>
            <w:r w:rsidRPr="00B35ECA">
              <w:rPr>
                <w:sz w:val="20"/>
                <w:szCs w:val="20"/>
              </w:rPr>
              <w:t>tów, nie więcej niż</w:t>
            </w:r>
          </w:p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b) ścieralność częściowa po 1/5 pełnej liczby obrotów, nie więcej niż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35</w:t>
            </w: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PN-B-06714-42 [12]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7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Nasiąkliwość, %(m/m), nie więcej niż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PN-B-06714-18 [6]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Mrozoodporność, ubytek masy po 25 cyklach zamraża-</w:t>
            </w:r>
          </w:p>
          <w:p w:rsidR="00B35ECA" w:rsidRPr="00B35ECA" w:rsidRDefault="00B35ECA" w:rsidP="0002377A">
            <w:pPr>
              <w:rPr>
                <w:sz w:val="20"/>
                <w:szCs w:val="20"/>
              </w:rPr>
            </w:pPr>
            <w:proofErr w:type="spellStart"/>
            <w:r w:rsidRPr="00B35ECA">
              <w:rPr>
                <w:sz w:val="20"/>
                <w:szCs w:val="20"/>
              </w:rPr>
              <w:t>nia</w:t>
            </w:r>
            <w:proofErr w:type="spellEnd"/>
            <w:r w:rsidRPr="00B35ECA">
              <w:rPr>
                <w:sz w:val="20"/>
                <w:szCs w:val="20"/>
              </w:rPr>
              <w:t>, %(m/m), nie więcej niż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PN-B-06714-19 [7]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9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Rozpad krzemianowy i żelazawy łącznie, % (m/m), nie więcej niż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PN-B-06714-37 [10]</w:t>
            </w: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PN-B-06714-39 [11]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Zawartość związków siarki w przeliczeniu na SO</w:t>
            </w:r>
            <w:r w:rsidRPr="00B35ECA">
              <w:rPr>
                <w:sz w:val="20"/>
                <w:szCs w:val="20"/>
                <w:vertAlign w:val="subscript"/>
              </w:rPr>
              <w:t>3</w:t>
            </w:r>
            <w:r w:rsidRPr="00B35ECA">
              <w:rPr>
                <w:sz w:val="20"/>
                <w:szCs w:val="20"/>
              </w:rPr>
              <w:t>, %(m/m), nie więcej niż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PN-B-06714-28 [9]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11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Wskaźnik nośności w</w:t>
            </w:r>
            <w:r w:rsidRPr="00B35ECA">
              <w:rPr>
                <w:sz w:val="20"/>
                <w:szCs w:val="20"/>
                <w:vertAlign w:val="subscript"/>
              </w:rPr>
              <w:t>noś</w:t>
            </w:r>
            <w:r w:rsidRPr="00B35ECA">
              <w:rPr>
                <w:sz w:val="20"/>
                <w:szCs w:val="20"/>
              </w:rPr>
              <w:t xml:space="preserve"> </w:t>
            </w:r>
            <w:proofErr w:type="spellStart"/>
            <w:r w:rsidRPr="00B35ECA">
              <w:rPr>
                <w:sz w:val="20"/>
                <w:szCs w:val="20"/>
              </w:rPr>
              <w:t>mie-szanki</w:t>
            </w:r>
            <w:proofErr w:type="spellEnd"/>
            <w:r w:rsidRPr="00B35ECA">
              <w:rPr>
                <w:sz w:val="20"/>
                <w:szCs w:val="20"/>
              </w:rPr>
              <w:t xml:space="preserve"> kruszywa, %, nie mniejszy niż:</w:t>
            </w:r>
          </w:p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a) przy zagęszczeniu I</w:t>
            </w:r>
            <w:r w:rsidRPr="00B35ECA">
              <w:rPr>
                <w:sz w:val="20"/>
                <w:szCs w:val="20"/>
                <w:vertAlign w:val="subscript"/>
              </w:rPr>
              <w:t>S</w:t>
            </w:r>
            <w:r w:rsidRPr="00B35ECA">
              <w:rPr>
                <w:sz w:val="20"/>
                <w:szCs w:val="20"/>
              </w:rPr>
              <w:t xml:space="preserve"> </w:t>
            </w:r>
            <w:r w:rsidRPr="00B35ECA">
              <w:rPr>
                <w:sz w:val="20"/>
                <w:szCs w:val="20"/>
              </w:rPr>
              <w:sym w:font="Symbol" w:char="F0B3"/>
            </w:r>
            <w:r w:rsidRPr="00B35ECA">
              <w:rPr>
                <w:sz w:val="20"/>
                <w:szCs w:val="20"/>
              </w:rPr>
              <w:t xml:space="preserve"> 1,00</w:t>
            </w:r>
          </w:p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b) przy zagęszczeniu I</w:t>
            </w:r>
            <w:r w:rsidRPr="00B35ECA">
              <w:rPr>
                <w:sz w:val="20"/>
                <w:szCs w:val="20"/>
                <w:vertAlign w:val="subscript"/>
              </w:rPr>
              <w:t>S</w:t>
            </w:r>
            <w:r w:rsidRPr="00B35ECA">
              <w:rPr>
                <w:sz w:val="20"/>
                <w:szCs w:val="20"/>
              </w:rPr>
              <w:t xml:space="preserve"> </w:t>
            </w:r>
            <w:r w:rsidRPr="00B35ECA">
              <w:rPr>
                <w:sz w:val="20"/>
                <w:szCs w:val="20"/>
              </w:rPr>
              <w:sym w:font="Symbol" w:char="F0B3"/>
            </w:r>
            <w:r w:rsidRPr="00B35ECA">
              <w:rPr>
                <w:sz w:val="20"/>
                <w:szCs w:val="20"/>
              </w:rPr>
              <w:t xml:space="preserve"> 1,03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80</w:t>
            </w: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120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PN-S-06102[21]</w:t>
            </w:r>
          </w:p>
        </w:tc>
      </w:tr>
    </w:tbl>
    <w:p w:rsidR="00B35ECA" w:rsidRPr="00B35ECA" w:rsidRDefault="00B35ECA" w:rsidP="00B35ECA">
      <w:pPr>
        <w:rPr>
          <w:sz w:val="20"/>
          <w:szCs w:val="20"/>
        </w:rPr>
      </w:pPr>
    </w:p>
    <w:p w:rsidR="00B35ECA" w:rsidRPr="00B35ECA" w:rsidRDefault="00B35ECA" w:rsidP="00B35ECA">
      <w:pPr>
        <w:rPr>
          <w:b/>
          <w:i/>
          <w:sz w:val="20"/>
          <w:szCs w:val="20"/>
        </w:rPr>
      </w:pPr>
      <w:r w:rsidRPr="00B35ECA">
        <w:rPr>
          <w:b/>
          <w:i/>
          <w:sz w:val="20"/>
          <w:szCs w:val="20"/>
        </w:rPr>
        <w:t>2.3.2. Właściwości kruszywa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>Kruszywa powinny spełniać wymagania określone w tablicy 1.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>Tablica 1.</w:t>
      </w:r>
    </w:p>
    <w:p w:rsidR="00B35ECA" w:rsidRPr="00B35ECA" w:rsidRDefault="00B35ECA" w:rsidP="00B35ECA">
      <w:pPr>
        <w:rPr>
          <w:sz w:val="20"/>
          <w:szCs w:val="20"/>
        </w:rPr>
      </w:pP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i/>
          <w:sz w:val="20"/>
          <w:szCs w:val="20"/>
        </w:rPr>
      </w:pPr>
      <w:r w:rsidRPr="00B35ECA">
        <w:rPr>
          <w:i/>
          <w:sz w:val="20"/>
          <w:szCs w:val="20"/>
        </w:rPr>
        <w:t>2.3.3. Woda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Należy stosować wodę wg PN-B-32250 [20].</w:t>
      </w:r>
    </w:p>
    <w:p w:rsidR="00B35ECA" w:rsidRPr="00B35ECA" w:rsidRDefault="00B35ECA" w:rsidP="00B35ECA">
      <w:pPr>
        <w:rPr>
          <w:sz w:val="20"/>
          <w:szCs w:val="20"/>
        </w:rPr>
      </w:pPr>
    </w:p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t>3. SPRZĘT</w:t>
      </w:r>
    </w:p>
    <w:p w:rsidR="00B35ECA" w:rsidRPr="00B35ECA" w:rsidRDefault="00B35ECA" w:rsidP="00B35ECA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B35ECA">
        <w:rPr>
          <w:b/>
          <w:sz w:val="20"/>
          <w:szCs w:val="20"/>
        </w:rPr>
        <w:t>3.1. Ogólne wymagania dotyczące sprzętu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 xml:space="preserve">Ogólne wymagania dotyczące sprzętu podano w ST D-00.00.00 „Wymagania ogólne”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3.</w:t>
      </w:r>
    </w:p>
    <w:p w:rsidR="00B35ECA" w:rsidRPr="00B35ECA" w:rsidRDefault="00B35ECA" w:rsidP="00B35ECA">
      <w:pPr>
        <w:rPr>
          <w:sz w:val="20"/>
          <w:szCs w:val="20"/>
        </w:rPr>
      </w:pP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3.2. Sprzęt do wykonania robót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Wykonawca przystępujący do wykonania podbudowy z kruszyw stabilizowanych mech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>nicznie  powinien wykazać się możliwością korzystania z następującego sprzętu:</w:t>
      </w:r>
    </w:p>
    <w:p w:rsidR="00B35ECA" w:rsidRPr="00B35ECA" w:rsidRDefault="00B35ECA" w:rsidP="00B35ECA">
      <w:pPr>
        <w:pStyle w:val="Nagwek6"/>
        <w:numPr>
          <w:ilvl w:val="5"/>
          <w:numId w:val="0"/>
        </w:numPr>
        <w:tabs>
          <w:tab w:val="left" w:pos="0"/>
          <w:tab w:val="left" w:pos="284"/>
          <w:tab w:val="left" w:pos="567"/>
          <w:tab w:val="num" w:pos="851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ind w:left="284" w:hanging="284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mieszarek do wytwarzania mieszanki, wyposażonych w urządzenia dozujące wodę. Mieszarki powinny zapewnić w</w:t>
      </w:r>
      <w:r w:rsidRPr="00B35ECA">
        <w:rPr>
          <w:b w:val="0"/>
          <w:sz w:val="20"/>
          <w:szCs w:val="20"/>
        </w:rPr>
        <w:t>y</w:t>
      </w:r>
      <w:r w:rsidRPr="00B35ECA">
        <w:rPr>
          <w:b w:val="0"/>
          <w:sz w:val="20"/>
          <w:szCs w:val="20"/>
        </w:rPr>
        <w:t>tworzenie jednorodnej mieszanki o wilgotności optymalnej,</w:t>
      </w:r>
    </w:p>
    <w:p w:rsidR="00B35ECA" w:rsidRPr="00B35ECA" w:rsidRDefault="00B35ECA" w:rsidP="00B35ECA">
      <w:pPr>
        <w:pStyle w:val="Nagwek6"/>
        <w:numPr>
          <w:ilvl w:val="5"/>
          <w:numId w:val="0"/>
        </w:numPr>
        <w:tabs>
          <w:tab w:val="left" w:pos="0"/>
          <w:tab w:val="left" w:pos="284"/>
          <w:tab w:val="left" w:pos="567"/>
          <w:tab w:val="num" w:pos="851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ind w:left="284" w:hanging="284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równiarek albo układarek do rozkładania mieszanki,</w:t>
      </w:r>
    </w:p>
    <w:p w:rsidR="00B35ECA" w:rsidRPr="00B35ECA" w:rsidRDefault="00B35ECA" w:rsidP="00B35ECA">
      <w:pPr>
        <w:pStyle w:val="Nagwek6"/>
        <w:numPr>
          <w:ilvl w:val="5"/>
          <w:numId w:val="0"/>
        </w:numPr>
        <w:tabs>
          <w:tab w:val="left" w:pos="0"/>
          <w:tab w:val="left" w:pos="284"/>
          <w:tab w:val="left" w:pos="567"/>
          <w:tab w:val="num" w:pos="851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ind w:left="284" w:hanging="284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 xml:space="preserve">walców ogumionych i stalowych wibracyjnych lub statycznych do zagęszczania. </w:t>
      </w:r>
      <w:r w:rsidRPr="00B35ECA">
        <w:rPr>
          <w:b w:val="0"/>
          <w:sz w:val="20"/>
          <w:szCs w:val="20"/>
        </w:rPr>
        <w:br/>
        <w:t>W miejscach trudno dostępnych p</w:t>
      </w:r>
      <w:r w:rsidRPr="00B35ECA">
        <w:rPr>
          <w:b w:val="0"/>
          <w:sz w:val="20"/>
          <w:szCs w:val="20"/>
        </w:rPr>
        <w:t>o</w:t>
      </w:r>
      <w:r w:rsidRPr="00B35ECA">
        <w:rPr>
          <w:b w:val="0"/>
          <w:sz w:val="20"/>
          <w:szCs w:val="20"/>
        </w:rPr>
        <w:t>winny być stosowane zagęszczarki płytowe, ubijaki mechaniczne lub małe walce w</w:t>
      </w:r>
      <w:r w:rsidRPr="00B35ECA">
        <w:rPr>
          <w:b w:val="0"/>
          <w:sz w:val="20"/>
          <w:szCs w:val="20"/>
        </w:rPr>
        <w:t>i</w:t>
      </w:r>
      <w:r w:rsidRPr="00B35ECA">
        <w:rPr>
          <w:b w:val="0"/>
          <w:sz w:val="20"/>
          <w:szCs w:val="20"/>
        </w:rPr>
        <w:t>bracyjne.</w:t>
      </w:r>
    </w:p>
    <w:p w:rsidR="00B35ECA" w:rsidRPr="00B35ECA" w:rsidRDefault="00B35ECA" w:rsidP="00B35ECA"/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t>4. TRANSPORT</w:t>
      </w:r>
    </w:p>
    <w:p w:rsidR="00B35ECA" w:rsidRPr="00B35ECA" w:rsidRDefault="00B35ECA" w:rsidP="00B35ECA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B35ECA">
        <w:rPr>
          <w:b/>
          <w:sz w:val="20"/>
          <w:szCs w:val="20"/>
        </w:rPr>
        <w:t>4.1. Ogólne wymagania dotyczące transportu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 xml:space="preserve">Ogólne wymagania dotyczące transportu podano w ST D-00.00.00 „Wymagania ogólne”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4.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4.2. Transport materiałów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Kruszywa można przewozić dowolnymi środkami transportu w warunkach zabezpieczających je przed zani</w:t>
      </w:r>
      <w:r w:rsidRPr="00B35ECA">
        <w:rPr>
          <w:sz w:val="20"/>
          <w:szCs w:val="20"/>
        </w:rPr>
        <w:t>e</w:t>
      </w:r>
      <w:r w:rsidRPr="00B35ECA">
        <w:rPr>
          <w:sz w:val="20"/>
          <w:szCs w:val="20"/>
        </w:rPr>
        <w:t>czyszczeniem, zmieszaniem z innymi materiałami, nadmiernym wysuszeniem i zawilgoceniem.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Transport pozostałych materiałów powinien odbywać się zgodnie z wymaganiami norm przedmiotowych.</w:t>
      </w:r>
    </w:p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t>5. WYKONANIE ROBÓT</w:t>
      </w:r>
    </w:p>
    <w:p w:rsidR="00B35ECA" w:rsidRPr="00B35ECA" w:rsidRDefault="00B35ECA" w:rsidP="00B35ECA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B35ECA">
        <w:rPr>
          <w:b/>
          <w:sz w:val="20"/>
          <w:szCs w:val="20"/>
        </w:rPr>
        <w:t>5.1. Ogólne zasady wykonania robót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Ogólne zasady wykonania robót podano w ST D-00.00.00 „Wymagania ogólne”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5.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lastRenderedPageBreak/>
        <w:t>5.2. Przygotowanie podłoża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Podłoże pod podbudowę powinno spełniać wymagania określone w ST D-04.01.01 „Koryto wraz z profilow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>niem i zagęszczeniem podłoża” i ST D-02.00.00 „Roboty ziemne”.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Podbudowa powinna być ułożona na podłożu zapewniającym nie przenikanie drobnych cz</w:t>
      </w:r>
      <w:r w:rsidRPr="00B35ECA">
        <w:rPr>
          <w:sz w:val="20"/>
          <w:szCs w:val="20"/>
        </w:rPr>
        <w:t>ą</w:t>
      </w:r>
      <w:r w:rsidRPr="00B35ECA">
        <w:rPr>
          <w:sz w:val="20"/>
          <w:szCs w:val="20"/>
        </w:rPr>
        <w:t>stek gruntu do podbudowy. Warunek nie przenikania należy sprawdzić wzorem: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</w:r>
      <w:r w:rsidRPr="00B35ECA">
        <w:rPr>
          <w:sz w:val="20"/>
          <w:szCs w:val="20"/>
        </w:rPr>
        <w:tab/>
      </w:r>
      <w:r w:rsidRPr="00B35ECA">
        <w:rPr>
          <w:sz w:val="20"/>
          <w:szCs w:val="20"/>
        </w:rPr>
        <w:tab/>
      </w:r>
      <w:r w:rsidRPr="00B35ECA">
        <w:rPr>
          <w:position w:val="-28"/>
          <w:sz w:val="20"/>
          <w:szCs w:val="20"/>
        </w:rPr>
        <w:object w:dxaOrig="48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41.25pt" o:ole="">
            <v:imagedata r:id="rId7" o:title=""/>
          </v:shape>
          <o:OLEObject Type="Embed" ProgID="Equation.3" ShapeID="_x0000_i1025" DrawAspect="Content" ObjectID="_1375081883" r:id="rId8"/>
        </w:object>
      </w:r>
      <w:r w:rsidRPr="00B35ECA">
        <w:rPr>
          <w:sz w:val="20"/>
          <w:szCs w:val="20"/>
        </w:rPr>
        <w:t xml:space="preserve">  </w:t>
      </w:r>
      <w:r w:rsidRPr="00B35ECA">
        <w:rPr>
          <w:sz w:val="20"/>
          <w:szCs w:val="20"/>
        </w:rPr>
        <w:sym w:font="Symbol" w:char="F0A3"/>
      </w:r>
      <w:r w:rsidRPr="00B35ECA">
        <w:rPr>
          <w:sz w:val="20"/>
          <w:szCs w:val="20"/>
        </w:rPr>
        <w:t xml:space="preserve">  5</w:t>
      </w:r>
      <w:r w:rsidRPr="00B35ECA">
        <w:rPr>
          <w:sz w:val="20"/>
          <w:szCs w:val="20"/>
        </w:rPr>
        <w:tab/>
      </w:r>
      <w:r w:rsidRPr="00B35ECA">
        <w:rPr>
          <w:sz w:val="20"/>
          <w:szCs w:val="20"/>
        </w:rPr>
        <w:tab/>
        <w:t>(1)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>w którym: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i/>
          <w:sz w:val="20"/>
          <w:szCs w:val="20"/>
        </w:rPr>
        <w:t>D</w:t>
      </w:r>
      <w:r w:rsidRPr="00B35ECA">
        <w:rPr>
          <w:sz w:val="20"/>
          <w:szCs w:val="20"/>
          <w:vertAlign w:val="subscript"/>
        </w:rPr>
        <w:t>15</w:t>
      </w:r>
      <w:r w:rsidRPr="00B35ECA">
        <w:rPr>
          <w:sz w:val="20"/>
          <w:szCs w:val="20"/>
        </w:rPr>
        <w:t xml:space="preserve"> -</w:t>
      </w:r>
      <w:r w:rsidRPr="00B35ECA">
        <w:rPr>
          <w:sz w:val="20"/>
          <w:szCs w:val="20"/>
        </w:rPr>
        <w:tab/>
        <w:t xml:space="preserve">wymiar boku oczka sita, przez które przechodzi 15% </w:t>
      </w:r>
      <w:proofErr w:type="spellStart"/>
      <w:r w:rsidRPr="00B35ECA">
        <w:rPr>
          <w:sz w:val="20"/>
          <w:szCs w:val="20"/>
        </w:rPr>
        <w:t>ziarn</w:t>
      </w:r>
      <w:proofErr w:type="spellEnd"/>
      <w:r w:rsidRPr="00B35ECA">
        <w:rPr>
          <w:sz w:val="20"/>
          <w:szCs w:val="20"/>
        </w:rPr>
        <w:t xml:space="preserve"> warstwy podbudowy lub wa</w:t>
      </w:r>
      <w:r w:rsidRPr="00B35ECA">
        <w:rPr>
          <w:sz w:val="20"/>
          <w:szCs w:val="20"/>
        </w:rPr>
        <w:t>r</w:t>
      </w:r>
      <w:r w:rsidRPr="00B35ECA">
        <w:rPr>
          <w:sz w:val="20"/>
          <w:szCs w:val="20"/>
        </w:rPr>
        <w:t>stwy odsączającej, w milimetrach,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i/>
          <w:sz w:val="20"/>
          <w:szCs w:val="20"/>
        </w:rPr>
        <w:t>d</w:t>
      </w:r>
      <w:r w:rsidRPr="00B35ECA">
        <w:rPr>
          <w:sz w:val="20"/>
          <w:szCs w:val="20"/>
          <w:vertAlign w:val="subscript"/>
        </w:rPr>
        <w:t>85</w:t>
      </w:r>
      <w:r w:rsidRPr="00B35ECA">
        <w:rPr>
          <w:sz w:val="20"/>
          <w:szCs w:val="20"/>
        </w:rPr>
        <w:t xml:space="preserve"> -</w:t>
      </w:r>
      <w:r w:rsidRPr="00B35ECA">
        <w:rPr>
          <w:sz w:val="20"/>
          <w:szCs w:val="20"/>
        </w:rPr>
        <w:tab/>
        <w:t xml:space="preserve">wymiar boku oczka sita, przez które przechodzi 85% </w:t>
      </w:r>
      <w:proofErr w:type="spellStart"/>
      <w:r w:rsidRPr="00B35ECA">
        <w:rPr>
          <w:sz w:val="20"/>
          <w:szCs w:val="20"/>
        </w:rPr>
        <w:t>ziarn</w:t>
      </w:r>
      <w:proofErr w:type="spellEnd"/>
      <w:r w:rsidRPr="00B35ECA">
        <w:rPr>
          <w:sz w:val="20"/>
          <w:szCs w:val="20"/>
        </w:rPr>
        <w:t xml:space="preserve"> gruntu podłoża w milimetrach.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Jeżeli warunek (1) nie może być spełniony, należy na podłożu ułożyć warstwę odcinającą lub odpowiednio dobraną </w:t>
      </w:r>
      <w:proofErr w:type="spellStart"/>
      <w:r w:rsidRPr="00B35ECA">
        <w:rPr>
          <w:sz w:val="20"/>
          <w:szCs w:val="20"/>
        </w:rPr>
        <w:t>geowłókninę</w:t>
      </w:r>
      <w:proofErr w:type="spellEnd"/>
      <w:r w:rsidRPr="00B35ECA">
        <w:rPr>
          <w:sz w:val="20"/>
          <w:szCs w:val="20"/>
        </w:rPr>
        <w:t xml:space="preserve">. Ochronne właściwości </w:t>
      </w:r>
      <w:proofErr w:type="spellStart"/>
      <w:r w:rsidRPr="00B35ECA">
        <w:rPr>
          <w:sz w:val="20"/>
          <w:szCs w:val="20"/>
        </w:rPr>
        <w:t>geowłókniny</w:t>
      </w:r>
      <w:proofErr w:type="spellEnd"/>
      <w:r w:rsidRPr="00B35ECA">
        <w:rPr>
          <w:sz w:val="20"/>
          <w:szCs w:val="20"/>
        </w:rPr>
        <w:t>, przeciw przenikaniu drobnych cząstek gruntu, wyznacza się z warunku: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</w:r>
      <w:r w:rsidRPr="00B35ECA">
        <w:rPr>
          <w:sz w:val="20"/>
          <w:szCs w:val="20"/>
        </w:rPr>
        <w:tab/>
      </w:r>
      <w:r w:rsidRPr="00B35ECA">
        <w:rPr>
          <w:sz w:val="20"/>
          <w:szCs w:val="20"/>
        </w:rPr>
        <w:tab/>
      </w:r>
      <w:r w:rsidRPr="00B35ECA">
        <w:rPr>
          <w:position w:val="-28"/>
          <w:sz w:val="20"/>
          <w:szCs w:val="20"/>
        </w:rPr>
        <w:object w:dxaOrig="460" w:dyaOrig="820">
          <v:shape id="_x0000_i1026" type="#_x0000_t75" style="width:23.25pt;height:41.25pt" o:ole="">
            <v:imagedata r:id="rId9" o:title=""/>
          </v:shape>
          <o:OLEObject Type="Embed" ProgID="Equation.3" ShapeID="_x0000_i1026" DrawAspect="Content" ObjectID="_1375081884" r:id="rId10"/>
        </w:object>
      </w:r>
      <w:r w:rsidRPr="00B35ECA">
        <w:rPr>
          <w:sz w:val="20"/>
          <w:szCs w:val="20"/>
        </w:rPr>
        <w:t xml:space="preserve">  </w:t>
      </w:r>
      <w:r w:rsidRPr="00B35ECA">
        <w:rPr>
          <w:sz w:val="20"/>
          <w:szCs w:val="20"/>
        </w:rPr>
        <w:sym w:font="Symbol" w:char="F0A3"/>
      </w:r>
      <w:r w:rsidRPr="00B35ECA">
        <w:rPr>
          <w:sz w:val="20"/>
          <w:szCs w:val="20"/>
        </w:rPr>
        <w:t xml:space="preserve">  1,2</w:t>
      </w:r>
      <w:r w:rsidRPr="00B35ECA">
        <w:rPr>
          <w:sz w:val="20"/>
          <w:szCs w:val="20"/>
        </w:rPr>
        <w:tab/>
      </w:r>
      <w:r w:rsidRPr="00B35ECA">
        <w:rPr>
          <w:sz w:val="20"/>
          <w:szCs w:val="20"/>
        </w:rPr>
        <w:tab/>
        <w:t>(2)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>w którym: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i/>
          <w:sz w:val="20"/>
          <w:szCs w:val="20"/>
        </w:rPr>
        <w:t>d</w:t>
      </w:r>
      <w:r w:rsidRPr="00B35ECA">
        <w:rPr>
          <w:sz w:val="20"/>
          <w:szCs w:val="20"/>
          <w:vertAlign w:val="subscript"/>
        </w:rPr>
        <w:t>50</w:t>
      </w:r>
      <w:r w:rsidRPr="00B35ECA">
        <w:rPr>
          <w:sz w:val="20"/>
          <w:szCs w:val="20"/>
        </w:rPr>
        <w:t xml:space="preserve"> -</w:t>
      </w:r>
      <w:r w:rsidRPr="00B35ECA">
        <w:rPr>
          <w:sz w:val="20"/>
          <w:szCs w:val="20"/>
        </w:rPr>
        <w:tab/>
        <w:t xml:space="preserve">wymiar boku oczka sita, przez które przechodzi 50 % </w:t>
      </w:r>
      <w:proofErr w:type="spellStart"/>
      <w:r w:rsidRPr="00B35ECA">
        <w:rPr>
          <w:sz w:val="20"/>
          <w:szCs w:val="20"/>
        </w:rPr>
        <w:t>ziarn</w:t>
      </w:r>
      <w:proofErr w:type="spellEnd"/>
      <w:r w:rsidRPr="00B35ECA">
        <w:rPr>
          <w:sz w:val="20"/>
          <w:szCs w:val="20"/>
        </w:rPr>
        <w:t xml:space="preserve"> gruntu podłoża, w milimetrach, 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i/>
          <w:sz w:val="20"/>
          <w:szCs w:val="20"/>
        </w:rPr>
        <w:t>O</w:t>
      </w:r>
      <w:r w:rsidRPr="00B35ECA">
        <w:rPr>
          <w:sz w:val="20"/>
          <w:szCs w:val="20"/>
          <w:vertAlign w:val="subscript"/>
        </w:rPr>
        <w:t>90</w:t>
      </w:r>
      <w:r w:rsidRPr="00B35ECA">
        <w:rPr>
          <w:sz w:val="20"/>
          <w:szCs w:val="20"/>
        </w:rPr>
        <w:t xml:space="preserve"> -</w:t>
      </w:r>
      <w:r w:rsidRPr="00B35ECA">
        <w:rPr>
          <w:sz w:val="20"/>
          <w:szCs w:val="20"/>
        </w:rPr>
        <w:tab/>
        <w:t xml:space="preserve">umowna średnica porów </w:t>
      </w:r>
      <w:proofErr w:type="spellStart"/>
      <w:r w:rsidRPr="00B35ECA">
        <w:rPr>
          <w:sz w:val="20"/>
          <w:szCs w:val="20"/>
        </w:rPr>
        <w:t>geowłókniny</w:t>
      </w:r>
      <w:proofErr w:type="spellEnd"/>
      <w:r w:rsidRPr="00B35ECA">
        <w:rPr>
          <w:sz w:val="20"/>
          <w:szCs w:val="20"/>
        </w:rPr>
        <w:t xml:space="preserve"> odpowiadająca wymiarom frakcji gruntu zatrzymująca się na </w:t>
      </w:r>
      <w:proofErr w:type="spellStart"/>
      <w:r w:rsidRPr="00B35ECA">
        <w:rPr>
          <w:sz w:val="20"/>
          <w:szCs w:val="20"/>
        </w:rPr>
        <w:t>geowłó</w:t>
      </w:r>
      <w:r w:rsidRPr="00B35ECA">
        <w:rPr>
          <w:sz w:val="20"/>
          <w:szCs w:val="20"/>
        </w:rPr>
        <w:t>k</w:t>
      </w:r>
      <w:r w:rsidRPr="00B35ECA">
        <w:rPr>
          <w:sz w:val="20"/>
          <w:szCs w:val="20"/>
        </w:rPr>
        <w:t>ninie</w:t>
      </w:r>
      <w:proofErr w:type="spellEnd"/>
      <w:r w:rsidRPr="00B35ECA">
        <w:rPr>
          <w:sz w:val="20"/>
          <w:szCs w:val="20"/>
        </w:rPr>
        <w:t xml:space="preserve"> w ilości 90% (m/m); wartość parametru 0</w:t>
      </w:r>
      <w:r w:rsidRPr="00B35ECA">
        <w:rPr>
          <w:sz w:val="20"/>
          <w:szCs w:val="20"/>
          <w:vertAlign w:val="subscript"/>
        </w:rPr>
        <w:t>90</w:t>
      </w:r>
      <w:r w:rsidRPr="00B35ECA">
        <w:rPr>
          <w:sz w:val="20"/>
          <w:szCs w:val="20"/>
        </w:rPr>
        <w:t xml:space="preserve"> powinna być podawana przez producenta </w:t>
      </w:r>
      <w:proofErr w:type="spellStart"/>
      <w:r w:rsidRPr="00B35ECA">
        <w:rPr>
          <w:sz w:val="20"/>
          <w:szCs w:val="20"/>
        </w:rPr>
        <w:t>geowłókniny</w:t>
      </w:r>
      <w:proofErr w:type="spellEnd"/>
      <w:r w:rsidRPr="00B35ECA">
        <w:rPr>
          <w:sz w:val="20"/>
          <w:szCs w:val="20"/>
        </w:rPr>
        <w:t>.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>Paliki lub szpilki do prawidłowego ukształtowania podbudowy powinny być wcześniej przygotowane.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Paliki lub szpilki powinny być ustawione w osi drogi i w rzędach równoległych do osi drogi, lub w inny sp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>sób zaakceptowany przez Inżyniera. Rozmieszczenie palików lub szpilek powinno umożliwiać naciągnięcie sznurków lub linek do wytyczenia robót w odstępach nie wię</w:t>
      </w:r>
      <w:r w:rsidRPr="00B35ECA">
        <w:rPr>
          <w:sz w:val="20"/>
          <w:szCs w:val="20"/>
        </w:rPr>
        <w:t>k</w:t>
      </w:r>
      <w:r w:rsidRPr="00B35ECA">
        <w:rPr>
          <w:sz w:val="20"/>
          <w:szCs w:val="20"/>
        </w:rPr>
        <w:t xml:space="preserve">szych niż co </w:t>
      </w:r>
      <w:smartTag w:uri="urn:schemas-microsoft-com:office:smarttags" w:element="metricconverter">
        <w:smartTagPr>
          <w:attr w:name="ProductID" w:val="10 m"/>
        </w:smartTagPr>
        <w:r w:rsidRPr="00B35ECA">
          <w:rPr>
            <w:sz w:val="20"/>
            <w:szCs w:val="20"/>
          </w:rPr>
          <w:t>10 m</w:t>
        </w:r>
      </w:smartTag>
      <w:r w:rsidRPr="00B35ECA">
        <w:rPr>
          <w:sz w:val="20"/>
          <w:szCs w:val="20"/>
        </w:rPr>
        <w:t>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5.3. Wytwarzanie mieszanki kruszywa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>Mieszankę kruszywa o ściśle określonym uziarnieniu i wilgotności optymalnej należy wytwarzać w mieszarkach gwarantujących otrzymanie jednorodnej mieszanki. Ze względu na k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>nieczność zapewnienia jednorodności nie dopuszcza się wytwarzania mieszanki przez mieszanie poszczególnych frakcji na drodze. Mieszanka po wyprodukow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>niu powinna być od razu transportowana na miejsce wbudowania w taki sposób, aby nie uległa rozsegregowaniu i w</w:t>
      </w:r>
      <w:r w:rsidRPr="00B35ECA">
        <w:rPr>
          <w:sz w:val="20"/>
          <w:szCs w:val="20"/>
        </w:rPr>
        <w:t>y</w:t>
      </w:r>
      <w:r w:rsidRPr="00B35ECA">
        <w:rPr>
          <w:sz w:val="20"/>
          <w:szCs w:val="20"/>
        </w:rPr>
        <w:t>sychaniu.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5.4. Wbudowywanie i zagęszczanie mieszanki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>Mieszanka kruszywa powinna być rozkładana w warstwie o jednakowej grubości, takiej, aby jej ostateczna grubość po zagęszczeniu była równa grubości projektowanej. Grubość pojedynczo układanej warstwy nie może prz</w:t>
      </w:r>
      <w:r w:rsidRPr="00B35ECA">
        <w:rPr>
          <w:sz w:val="20"/>
          <w:szCs w:val="20"/>
        </w:rPr>
        <w:t>e</w:t>
      </w:r>
      <w:r w:rsidRPr="00B35ECA">
        <w:rPr>
          <w:sz w:val="20"/>
          <w:szCs w:val="20"/>
        </w:rPr>
        <w:t xml:space="preserve">kraczać </w:t>
      </w:r>
      <w:smartTag w:uri="urn:schemas-microsoft-com:office:smarttags" w:element="metricconverter">
        <w:smartTagPr>
          <w:attr w:name="ProductID" w:val="20 cm"/>
        </w:smartTagPr>
        <w:r w:rsidRPr="00B35ECA">
          <w:rPr>
            <w:sz w:val="20"/>
            <w:szCs w:val="20"/>
          </w:rPr>
          <w:t>20 cm</w:t>
        </w:r>
      </w:smartTag>
      <w:r w:rsidRPr="00B35ECA">
        <w:rPr>
          <w:sz w:val="20"/>
          <w:szCs w:val="20"/>
        </w:rPr>
        <w:t xml:space="preserve"> po zagęszczeniu. Warstwa podbudowy powinna być rozłożona w sposób zapewniający osiągnięcie wymaganych spadków i rzędnych wysok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>ściowych. Jeżeli podbudowa składa się z więcej niż jednej warstwy kruszywa, to każda warstwa powinna być wyprofilowana i zagęszczona z zachowaniem wymaganych spadków i rzędnych wysok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>ściowych. Rozpoczęcie budowy każdej następnej warstwy może nastąpić po odbiorze poprzedniej warstwy przez Inż</w:t>
      </w:r>
      <w:r w:rsidRPr="00B35ECA">
        <w:rPr>
          <w:sz w:val="20"/>
          <w:szCs w:val="20"/>
        </w:rPr>
        <w:t>y</w:t>
      </w:r>
      <w:r w:rsidRPr="00B35ECA">
        <w:rPr>
          <w:sz w:val="20"/>
          <w:szCs w:val="20"/>
        </w:rPr>
        <w:t xml:space="preserve">niera. </w:t>
      </w:r>
      <w:r w:rsidRPr="00B35ECA">
        <w:rPr>
          <w:sz w:val="20"/>
          <w:szCs w:val="20"/>
        </w:rPr>
        <w:tab/>
        <w:t>Wilgotność mieszanki kruszywa podczas zagęszczania powinna odpowiadać wilgotności optymalnej, określ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 xml:space="preserve">nej według próby </w:t>
      </w:r>
      <w:proofErr w:type="spellStart"/>
      <w:r w:rsidRPr="00B35ECA">
        <w:rPr>
          <w:sz w:val="20"/>
          <w:szCs w:val="20"/>
        </w:rPr>
        <w:t>Proctora</w:t>
      </w:r>
      <w:proofErr w:type="spellEnd"/>
      <w:r w:rsidRPr="00B35ECA">
        <w:rPr>
          <w:sz w:val="20"/>
          <w:szCs w:val="20"/>
        </w:rPr>
        <w:t>, zgodnie z PN-B-04481 [1] (metoda II). Materiał nadmiernie nawilgocony, powinien zostać osuszony przez mieszanie i n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>powietrzanie. Jeżeli wilgotność mieszanki kruszywa jest niższa od optymalnej o 20% jej wartości, mieszanka powinna być zwilżona określoną ilością wody i równomiernie wymieszana. W przypa</w:t>
      </w:r>
      <w:r w:rsidRPr="00B35ECA">
        <w:rPr>
          <w:sz w:val="20"/>
          <w:szCs w:val="20"/>
        </w:rPr>
        <w:t>d</w:t>
      </w:r>
      <w:r w:rsidRPr="00B35ECA">
        <w:rPr>
          <w:sz w:val="20"/>
          <w:szCs w:val="20"/>
        </w:rPr>
        <w:t>ku, gdy wilgotność mieszanki kruszywa jest wyższa od optymalnej o 10% jej wartości, mieszankę należy osuszyć.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Wskaźnik zagęszczenia podbudowy wg BN-77/8931-12 [29] powinien odpowiadać przyj</w:t>
      </w:r>
      <w:r w:rsidRPr="00B35ECA">
        <w:rPr>
          <w:sz w:val="20"/>
          <w:szCs w:val="20"/>
        </w:rPr>
        <w:t>ę</w:t>
      </w:r>
      <w:r w:rsidRPr="00B35ECA">
        <w:rPr>
          <w:sz w:val="20"/>
          <w:szCs w:val="20"/>
        </w:rPr>
        <w:t>temu poziomowi wskaźnika nośności podbudowy wg tablicy 1, lp. 11.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5.5. Odcinek próbny</w:t>
      </w:r>
    </w:p>
    <w:p w:rsidR="00B35ECA" w:rsidRPr="00B35ECA" w:rsidRDefault="00B35ECA" w:rsidP="00B35ECA">
      <w:pPr>
        <w:pStyle w:val="tekstost"/>
      </w:pPr>
      <w:r w:rsidRPr="00B35ECA">
        <w:t>Wykonawca co najmniej na 3 dni przed rozpoczęciem robót, powinien wykonać odcinek próbny w celu:</w:t>
      </w:r>
    </w:p>
    <w:p w:rsidR="00B35ECA" w:rsidRPr="00B35ECA" w:rsidRDefault="00B35ECA" w:rsidP="00B35ECA">
      <w:pPr>
        <w:pStyle w:val="tekstost"/>
        <w:numPr>
          <w:ilvl w:val="0"/>
          <w:numId w:val="1"/>
        </w:numPr>
        <w:tabs>
          <w:tab w:val="left" w:pos="355"/>
        </w:tabs>
        <w:overflowPunct/>
        <w:adjustRightInd/>
      </w:pPr>
      <w:r w:rsidRPr="00B35ECA">
        <w:t>stwierdzenia czy sprzęt budowlany do mieszania, rozkładania i zagęszczania kruszywa   jest właściwy,</w:t>
      </w:r>
    </w:p>
    <w:p w:rsidR="00B35ECA" w:rsidRPr="00B35ECA" w:rsidRDefault="00B35ECA" w:rsidP="00B35ECA">
      <w:pPr>
        <w:pStyle w:val="tekstost"/>
        <w:numPr>
          <w:ilvl w:val="0"/>
          <w:numId w:val="1"/>
        </w:numPr>
        <w:tabs>
          <w:tab w:val="left" w:pos="355"/>
        </w:tabs>
        <w:overflowPunct/>
        <w:adjustRightInd/>
      </w:pPr>
      <w:r w:rsidRPr="00B35ECA">
        <w:t>określenia grubości warstwy materiału w stanie luźnym,  koniecznej do uzyskania wymaganej grubości warstwy po zagęszczeniu,</w:t>
      </w:r>
    </w:p>
    <w:p w:rsidR="00B35ECA" w:rsidRPr="00B35ECA" w:rsidRDefault="00B35ECA" w:rsidP="00B35ECA">
      <w:pPr>
        <w:pStyle w:val="tekstost"/>
        <w:numPr>
          <w:ilvl w:val="0"/>
          <w:numId w:val="1"/>
        </w:numPr>
        <w:tabs>
          <w:tab w:val="left" w:pos="355"/>
        </w:tabs>
        <w:overflowPunct/>
        <w:adjustRightInd/>
      </w:pPr>
      <w:r w:rsidRPr="00B35ECA">
        <w:t>określenia liczby przejść sprzętu zagęszczającego, potrzebnej do uzyskania wymaganego wskaźnika zagęszczenia.</w:t>
      </w:r>
    </w:p>
    <w:p w:rsidR="00B35ECA" w:rsidRPr="00B35ECA" w:rsidRDefault="00B35ECA" w:rsidP="00B35ECA">
      <w:pPr>
        <w:pStyle w:val="tekstost"/>
      </w:pPr>
      <w:r w:rsidRPr="00B35ECA">
        <w:lastRenderedPageBreak/>
        <w:t>Na odcinku próbnym  Wykonawca powinien użyć takich materiałów oraz sprzętu do mieszania, rozkładania i zagęs</w:t>
      </w:r>
      <w:r w:rsidRPr="00B35ECA">
        <w:t>z</w:t>
      </w:r>
      <w:r w:rsidRPr="00B35ECA">
        <w:t xml:space="preserve">czania, jakie będą stosowane do wykonywania podbudowy. Powierzchnia odcinka próbnego powinna wynosić od 400 do </w:t>
      </w:r>
      <w:smartTag w:uri="urn:schemas-microsoft-com:office:smarttags" w:element="metricconverter">
        <w:smartTagPr>
          <w:attr w:name="ProductID" w:val="800 m2"/>
        </w:smartTagPr>
        <w:r w:rsidRPr="00B35ECA">
          <w:t>800 m</w:t>
        </w:r>
        <w:r w:rsidRPr="00B35ECA">
          <w:rPr>
            <w:vertAlign w:val="superscript"/>
          </w:rPr>
          <w:t>2</w:t>
        </w:r>
      </w:smartTag>
      <w:r w:rsidRPr="00B35ECA">
        <w:t>. Odcinek próbny powinien być zlokalizowany w miejscu wskazanym przez Inżyniera. Wykonawca może przystąpić do wykonywania podbudowy po zaakceptowaniu odcinka próbnego przez Inż</w:t>
      </w:r>
      <w:r w:rsidRPr="00B35ECA">
        <w:t>y</w:t>
      </w:r>
      <w:r w:rsidRPr="00B35ECA">
        <w:t>niera.</w:t>
      </w:r>
      <w:r w:rsidRPr="00B35ECA">
        <w:tab/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 xml:space="preserve">5.6. Utrzymanie podbudowy 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>Podbudowa po wykonaniu, a przed ułożeniem następnej warstwy, powinna być utrzymywana w dobrym stanie.  Jeżeli Wykonawca będzie wykorzystywał, za zgodą Inżyniera, gotową podb</w:t>
      </w:r>
      <w:r w:rsidRPr="00B35ECA">
        <w:rPr>
          <w:sz w:val="20"/>
          <w:szCs w:val="20"/>
        </w:rPr>
        <w:t>u</w:t>
      </w:r>
      <w:r w:rsidRPr="00B35ECA">
        <w:rPr>
          <w:sz w:val="20"/>
          <w:szCs w:val="20"/>
        </w:rPr>
        <w:t>dowę do ruchu budowlanego, to jest obowiązany naprawić wszelkie uszkodzenia podbudowy, sp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>wodowane przez ten ruch. Koszt napraw wynikłych z niewłaściwego utrzymania podbudowy o</w:t>
      </w:r>
      <w:r w:rsidRPr="00B35ECA">
        <w:rPr>
          <w:sz w:val="20"/>
          <w:szCs w:val="20"/>
        </w:rPr>
        <w:t>b</w:t>
      </w:r>
      <w:r w:rsidRPr="00B35ECA">
        <w:rPr>
          <w:sz w:val="20"/>
          <w:szCs w:val="20"/>
        </w:rPr>
        <w:t>ciąża Wykonawcę robót.</w:t>
      </w:r>
    </w:p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t>6. KONTROLA JAKOŚCI ROBÓT</w:t>
      </w:r>
    </w:p>
    <w:p w:rsidR="00B35ECA" w:rsidRPr="00B35ECA" w:rsidRDefault="00B35ECA" w:rsidP="00B35ECA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B35ECA">
        <w:rPr>
          <w:b/>
          <w:sz w:val="20"/>
          <w:szCs w:val="20"/>
        </w:rPr>
        <w:t>6.1. Ogólne zasady kontroli jakości robót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Ogólne zasady kontroli jakości robót podano w ST D-00.00.00 „Wymagania ogólne”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6.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6.2. Badania przed przystąpieniem do robót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>Przed przystąpieniem do robót Wykonawca powinien wykonać badania kruszyw  przeznaczonych do wykonania robót i przedstawić wyniki tych badań Inżynierowi w celu akceptacji mat</w:t>
      </w:r>
      <w:r w:rsidRPr="00B35ECA">
        <w:rPr>
          <w:sz w:val="20"/>
          <w:szCs w:val="20"/>
        </w:rPr>
        <w:t>e</w:t>
      </w:r>
      <w:r w:rsidRPr="00B35ECA">
        <w:rPr>
          <w:sz w:val="20"/>
          <w:szCs w:val="20"/>
        </w:rPr>
        <w:t xml:space="preserve">riałów. Badania te powinny obejmować wszystkie właściwości określone w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2.3 niniejszej ST.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6.3. Badania w czasie robót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>6.3.1.Częstotliwość oraz zakres badań i pomiarów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Częstotliwość oraz zakres badań  podano w tablicy 2.</w:t>
      </w:r>
    </w:p>
    <w:p w:rsidR="00B35ECA" w:rsidRPr="00B35ECA" w:rsidRDefault="00B35ECA" w:rsidP="00B35ECA">
      <w:pPr>
        <w:pStyle w:val="tekstost"/>
      </w:pPr>
      <w:r w:rsidRPr="00B35ECA">
        <w:t>Tablica 2. Częstotliwość ora zakres  badań przy budowie podbudowy z kruszyw stabilizowanych mechanicznie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394"/>
        <w:gridCol w:w="1309"/>
        <w:gridCol w:w="3510"/>
      </w:tblGrid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Częstotliwość badań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</w:p>
          <w:p w:rsidR="00B35ECA" w:rsidRPr="00B35ECA" w:rsidRDefault="00B35ECA" w:rsidP="0002377A">
            <w:pPr>
              <w:pStyle w:val="Standardowytekst1"/>
            </w:pPr>
            <w:r w:rsidRPr="00B35ECA">
              <w:t>Lp.</w:t>
            </w:r>
          </w:p>
        </w:tc>
        <w:tc>
          <w:tcPr>
            <w:tcW w:w="4394" w:type="dxa"/>
            <w:tcBorders>
              <w:left w:val="nil"/>
              <w:bottom w:val="doub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</w:p>
          <w:p w:rsidR="00B35ECA" w:rsidRPr="00B35ECA" w:rsidRDefault="00B35ECA" w:rsidP="0002377A">
            <w:pPr>
              <w:pStyle w:val="Standardowytekst1"/>
            </w:pPr>
            <w:r w:rsidRPr="00B35ECA">
              <w:t>Wyszczególnienie badań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Minimalna liczba badań na dziennej działce roboczej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Maksymalna powierzchnia podbudowy przy-padająca na jedno badanie (m</w:t>
            </w:r>
            <w:r w:rsidRPr="00B35ECA">
              <w:rPr>
                <w:szCs w:val="20"/>
                <w:vertAlign w:val="superscript"/>
              </w:rPr>
              <w:t>2</w:t>
            </w:r>
            <w:r w:rsidRPr="00B35ECA">
              <w:rPr>
                <w:szCs w:val="20"/>
              </w:rPr>
              <w:t>)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  <w:r w:rsidRPr="00B35ECA">
              <w:t>1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  <w:r w:rsidRPr="00B35ECA">
              <w:t xml:space="preserve">Uziarnienie mieszanki 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</w:tc>
        <w:tc>
          <w:tcPr>
            <w:tcW w:w="3510" w:type="dxa"/>
            <w:tcBorders>
              <w:left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  <w:r w:rsidRPr="00B35ECA"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  <w:r w:rsidRPr="00B35ECA">
              <w:t xml:space="preserve">Wilgotność mieszanki 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2</w:t>
            </w:r>
          </w:p>
        </w:tc>
        <w:tc>
          <w:tcPr>
            <w:tcW w:w="35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600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  <w:r w:rsidRPr="00B35ECA"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  <w:r w:rsidRPr="00B35ECA">
              <w:t>Zagęszczenie warstwy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10 próbek</w:t>
            </w:r>
          </w:p>
        </w:tc>
        <w:tc>
          <w:tcPr>
            <w:tcW w:w="351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na </w:t>
            </w:r>
            <w:smartTag w:uri="urn:schemas-microsoft-com:office:smarttags" w:element="metricconverter">
              <w:smartTagPr>
                <w:attr w:name="ProductID" w:val="10000 m2"/>
              </w:smartTagPr>
              <w:r w:rsidRPr="00B35ECA">
                <w:rPr>
                  <w:szCs w:val="20"/>
                </w:rPr>
                <w:t>10000 m</w:t>
              </w:r>
              <w:r w:rsidRPr="00B35ECA">
                <w:rPr>
                  <w:szCs w:val="20"/>
                  <w:vertAlign w:val="superscript"/>
                </w:rPr>
                <w:t>2</w:t>
              </w:r>
            </w:smartTag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  <w:r w:rsidRPr="00B35ECA"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Standardowytekst1"/>
            </w:pPr>
            <w:r w:rsidRPr="00B35ECA">
              <w:t xml:space="preserve">Badanie właściwości kruszywa wg tab. 1, </w:t>
            </w:r>
            <w:proofErr w:type="spellStart"/>
            <w:r w:rsidRPr="00B35ECA">
              <w:t>pkt</w:t>
            </w:r>
            <w:proofErr w:type="spellEnd"/>
            <w:r w:rsidRPr="00B35ECA">
              <w:t xml:space="preserve"> 2.3.2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dla każdej partii kruszywa i przy każdej zmianie kruszywa</w:t>
            </w:r>
          </w:p>
        </w:tc>
      </w:tr>
    </w:tbl>
    <w:p w:rsidR="00B35ECA" w:rsidRPr="00B35ECA" w:rsidRDefault="00B35ECA" w:rsidP="00B35ECA">
      <w:pPr>
        <w:pStyle w:val="tekstost"/>
      </w:pP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>6.3.2. Uziarnienie mieszanki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Uziarnienie mieszanki powinno być zgodne z wymaganiami podanymi w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2.3. Próbki należy pobierać w sposób losowy, z rozłożonej warstwy, przed jej zagęszczeniem. Wyniki badań powinny być na bieżąco przekazywane Inżynierowi.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 xml:space="preserve">6.3.3. Wilgotność mieszanki 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Wilgotność mieszanki powinna odpowiadać wilgotności optymalnej, określonej według próby </w:t>
      </w:r>
      <w:proofErr w:type="spellStart"/>
      <w:r w:rsidRPr="00B35ECA">
        <w:rPr>
          <w:sz w:val="20"/>
          <w:szCs w:val="20"/>
        </w:rPr>
        <w:t>Proctora</w:t>
      </w:r>
      <w:proofErr w:type="spellEnd"/>
      <w:r w:rsidRPr="00B35ECA">
        <w:rPr>
          <w:sz w:val="20"/>
          <w:szCs w:val="20"/>
        </w:rPr>
        <w:t>, zgo</w:t>
      </w:r>
      <w:r w:rsidRPr="00B35ECA">
        <w:rPr>
          <w:sz w:val="20"/>
          <w:szCs w:val="20"/>
        </w:rPr>
        <w:t>d</w:t>
      </w:r>
      <w:r w:rsidRPr="00B35ECA">
        <w:rPr>
          <w:sz w:val="20"/>
          <w:szCs w:val="20"/>
        </w:rPr>
        <w:t>nie z PN-B-04481 [1] (metoda II), z tolerancją +10% -20%.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Wilgotność należy określić według PN-B-06714-17 [5].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>6.3.4. Zagęszczenie podbudowy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Zagęszczenie każdej warstwy powinno odbywać się aż do osiągnięcia wymaganego wska</w:t>
      </w:r>
      <w:r w:rsidRPr="00B35ECA">
        <w:rPr>
          <w:sz w:val="20"/>
          <w:szCs w:val="20"/>
        </w:rPr>
        <w:t>ź</w:t>
      </w:r>
      <w:r w:rsidRPr="00B35ECA">
        <w:rPr>
          <w:sz w:val="20"/>
          <w:szCs w:val="20"/>
        </w:rPr>
        <w:t>nika zagęszczenia.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Zagęszczenie podbudowy należy sprawdzać według BN-77/8931-12 [30]. W przypadku, gdy przeprowadzenie badania jest niemożliwe ze względu na gruboziarniste kruszywo, kontrolę zagęszczenia należy oprzeć na metodzie obciążeń płytowych, wg BN-64/8931-02 [27] i nie rzadziej niż raz na </w:t>
      </w:r>
      <w:smartTag w:uri="urn:schemas-microsoft-com:office:smarttags" w:element="metricconverter">
        <w:smartTagPr>
          <w:attr w:name="ProductID" w:val="5000 m2"/>
        </w:smartTagPr>
        <w:r w:rsidRPr="00B35ECA">
          <w:rPr>
            <w:sz w:val="20"/>
            <w:szCs w:val="20"/>
          </w:rPr>
          <w:t>5000 m</w:t>
        </w:r>
        <w:r w:rsidRPr="00B35ECA">
          <w:rPr>
            <w:sz w:val="20"/>
            <w:szCs w:val="20"/>
            <w:vertAlign w:val="superscript"/>
          </w:rPr>
          <w:t>2</w:t>
        </w:r>
      </w:smartTag>
      <w:r w:rsidRPr="00B35ECA">
        <w:rPr>
          <w:sz w:val="20"/>
          <w:szCs w:val="20"/>
        </w:rPr>
        <w:t>, lub według zaleceń Inżyniera. Zagęs</w:t>
      </w:r>
      <w:r w:rsidRPr="00B35ECA">
        <w:rPr>
          <w:sz w:val="20"/>
          <w:szCs w:val="20"/>
        </w:rPr>
        <w:t>z</w:t>
      </w:r>
      <w:r w:rsidRPr="00B35ECA">
        <w:rPr>
          <w:sz w:val="20"/>
          <w:szCs w:val="20"/>
        </w:rPr>
        <w:t xml:space="preserve">czenie podbudowy stabilizowanej mechanicznie należy uznać za prawidłowe, gdy stosunek wtórnego modułu </w:t>
      </w:r>
      <w:r w:rsidRPr="00B35ECA">
        <w:rPr>
          <w:i/>
          <w:sz w:val="20"/>
          <w:szCs w:val="20"/>
        </w:rPr>
        <w:t>E</w:t>
      </w:r>
      <w:r w:rsidRPr="00B35ECA">
        <w:rPr>
          <w:sz w:val="20"/>
          <w:szCs w:val="20"/>
          <w:vertAlign w:val="subscript"/>
        </w:rPr>
        <w:t>2</w:t>
      </w:r>
      <w:r w:rsidRPr="00B35ECA">
        <w:rPr>
          <w:sz w:val="20"/>
          <w:szCs w:val="20"/>
        </w:rPr>
        <w:t xml:space="preserve"> do pierwotnego modułu odkształcenia </w:t>
      </w:r>
      <w:r w:rsidRPr="00B35ECA">
        <w:rPr>
          <w:i/>
          <w:sz w:val="20"/>
          <w:szCs w:val="20"/>
        </w:rPr>
        <w:t>E</w:t>
      </w:r>
      <w:r w:rsidRPr="00B35ECA">
        <w:rPr>
          <w:sz w:val="20"/>
          <w:szCs w:val="20"/>
          <w:vertAlign w:val="subscript"/>
        </w:rPr>
        <w:t>1</w:t>
      </w:r>
      <w:r w:rsidRPr="00B35ECA">
        <w:rPr>
          <w:sz w:val="20"/>
          <w:szCs w:val="20"/>
        </w:rPr>
        <w:t xml:space="preserve"> jest nie większy od 2,2 dla każdej warstwy konstrukcyjnej podb</w:t>
      </w:r>
      <w:r w:rsidRPr="00B35ECA">
        <w:rPr>
          <w:sz w:val="20"/>
          <w:szCs w:val="20"/>
        </w:rPr>
        <w:t>u</w:t>
      </w:r>
      <w:r w:rsidRPr="00B35ECA">
        <w:rPr>
          <w:sz w:val="20"/>
          <w:szCs w:val="20"/>
        </w:rPr>
        <w:t>dowy.</w:t>
      </w:r>
    </w:p>
    <w:p w:rsidR="00B35ECA" w:rsidRPr="00B35ECA" w:rsidRDefault="00B35ECA" w:rsidP="00B35ECA">
      <w:pPr>
        <w:pStyle w:val="tekstost"/>
      </w:pPr>
      <w:r w:rsidRPr="00B35ECA">
        <w:tab/>
      </w:r>
      <w:r w:rsidRPr="00B35ECA">
        <w:tab/>
      </w:r>
      <w:r w:rsidRPr="00B35ECA">
        <w:tab/>
      </w:r>
      <w:r w:rsidRPr="00B35ECA">
        <w:tab/>
      </w:r>
      <w:r w:rsidRPr="00B35ECA">
        <w:rPr>
          <w:position w:val="-28"/>
        </w:rPr>
        <w:object w:dxaOrig="340" w:dyaOrig="680">
          <v:shape id="_x0000_i1027" type="#_x0000_t75" style="width:17.25pt;height:33.75pt" o:ole="">
            <v:imagedata r:id="rId11" o:title=""/>
          </v:shape>
          <o:OLEObject Type="Embed" ProgID="Equation.3" ShapeID="_x0000_i1027" DrawAspect="Content" ObjectID="_1375081885" r:id="rId12"/>
        </w:object>
      </w:r>
      <w:r w:rsidRPr="00B35ECA">
        <w:t xml:space="preserve">  </w:t>
      </w:r>
      <w:r w:rsidRPr="00B35ECA">
        <w:sym w:font="Symbol" w:char="F0A3"/>
      </w:r>
      <w:r w:rsidRPr="00B35ECA">
        <w:t xml:space="preserve">   2,2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lastRenderedPageBreak/>
        <w:t>6.3.5. Właściwości kruszywa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Badania kruszywa powinny obejmować ocenę wszystkich właściwości określonych w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2.3.2.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Próbki do badań pełnych powinny być pobierane przez Wykonawcę w sposób losowy w obecności Inżyniera.</w:t>
      </w:r>
    </w:p>
    <w:p w:rsidR="00B35ECA" w:rsidRPr="00B35ECA" w:rsidRDefault="00B35ECA" w:rsidP="00B35ECA">
      <w:pPr>
        <w:rPr>
          <w:sz w:val="20"/>
          <w:szCs w:val="20"/>
        </w:rPr>
      </w:pP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 xml:space="preserve">6.4. Wymagania dotyczące cech geometrycznych podbudowy 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>6.4.1. Częstotliwość oraz zakres pomiarów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 Częstotliwość oraz zakres pomiarów dotyczących cech geometrycznych podbudowy  pod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>no w  tablicy 3.</w:t>
      </w:r>
    </w:p>
    <w:p w:rsidR="00B35ECA" w:rsidRPr="00B35ECA" w:rsidRDefault="00B35ECA" w:rsidP="00B35ECA">
      <w:pPr>
        <w:rPr>
          <w:sz w:val="20"/>
          <w:szCs w:val="20"/>
        </w:rPr>
      </w:pP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>Tablica 3. Częstotliwość oraz zakres pomiarów wykonanej podbudowy z kruszywa stabilizowanego mechanicznie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4395"/>
        <w:gridCol w:w="4677"/>
      </w:tblGrid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bottom w:val="doub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Lp.</w:t>
            </w:r>
          </w:p>
        </w:tc>
        <w:tc>
          <w:tcPr>
            <w:tcW w:w="4395" w:type="dxa"/>
            <w:tcBorders>
              <w:bottom w:val="double" w:sz="6" w:space="0" w:color="auto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Wyszczególnienie badań i pomiarów</w:t>
            </w:r>
          </w:p>
        </w:tc>
        <w:tc>
          <w:tcPr>
            <w:tcW w:w="4677" w:type="dxa"/>
            <w:tcBorders>
              <w:bottom w:val="doub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Minimalna częstotliwość pomiarów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  <w:tcBorders>
              <w:top w:val="nil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top w:val="nil"/>
            </w:tcBorders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 xml:space="preserve">Szerokość podbudowy </w:t>
            </w:r>
          </w:p>
        </w:tc>
        <w:tc>
          <w:tcPr>
            <w:tcW w:w="4677" w:type="dxa"/>
            <w:tcBorders>
              <w:top w:val="nil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B35ECA">
                <w:rPr>
                  <w:szCs w:val="20"/>
                </w:rPr>
                <w:t>1 km</w:t>
              </w:r>
            </w:smartTag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Równość podłużna</w:t>
            </w:r>
          </w:p>
        </w:tc>
        <w:tc>
          <w:tcPr>
            <w:tcW w:w="4677" w:type="dxa"/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w sposób ciągły planografem albo co 20m łatą na każdym pasie ruchu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Równość poprzeczna</w:t>
            </w:r>
          </w:p>
        </w:tc>
        <w:tc>
          <w:tcPr>
            <w:tcW w:w="4677" w:type="dxa"/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B35ECA">
                <w:rPr>
                  <w:szCs w:val="20"/>
                </w:rPr>
                <w:t>1 km</w:t>
              </w:r>
            </w:smartTag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Spadki poprzeczne*</w:t>
            </w:r>
            <w:r w:rsidRPr="00B35ECA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677" w:type="dxa"/>
            <w:tcBorders>
              <w:bottom w:val="nil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B35ECA">
                <w:rPr>
                  <w:szCs w:val="20"/>
                </w:rPr>
                <w:t>1 km</w:t>
              </w:r>
            </w:smartTag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5</w:t>
            </w:r>
          </w:p>
        </w:tc>
        <w:tc>
          <w:tcPr>
            <w:tcW w:w="4395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Rzędne wysokościowe</w:t>
            </w:r>
          </w:p>
        </w:tc>
        <w:tc>
          <w:tcPr>
            <w:tcW w:w="4677" w:type="dxa"/>
            <w:tcBorders>
              <w:bottom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B35ECA">
                <w:rPr>
                  <w:szCs w:val="20"/>
                </w:rPr>
                <w:t>100 m</w:t>
              </w:r>
            </w:smartTag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6</w:t>
            </w:r>
          </w:p>
        </w:tc>
        <w:tc>
          <w:tcPr>
            <w:tcW w:w="4395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Ukształtowanie osi w planie*</w:t>
            </w:r>
            <w:r w:rsidRPr="00B35ECA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677" w:type="dxa"/>
            <w:tcBorders>
              <w:top w:val="nil"/>
            </w:tcBorders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B35ECA">
                <w:rPr>
                  <w:szCs w:val="20"/>
                </w:rPr>
                <w:t>100 m</w:t>
              </w:r>
            </w:smartTag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7</w:t>
            </w:r>
          </w:p>
        </w:tc>
        <w:tc>
          <w:tcPr>
            <w:tcW w:w="4395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 xml:space="preserve">Grubość podbudowy </w:t>
            </w:r>
          </w:p>
        </w:tc>
        <w:tc>
          <w:tcPr>
            <w:tcW w:w="4677" w:type="dxa"/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Podczas budowy:</w:t>
            </w: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w 3 punktach na każdej działce roboczej, lecz nie rzadziej niż raz na </w:t>
            </w:r>
            <w:smartTag w:uri="urn:schemas-microsoft-com:office:smarttags" w:element="metricconverter">
              <w:smartTagPr>
                <w:attr w:name="ProductID" w:val="400 m2"/>
              </w:smartTagPr>
              <w:r w:rsidRPr="00B35ECA">
                <w:rPr>
                  <w:szCs w:val="20"/>
                </w:rPr>
                <w:t>400 m</w:t>
              </w:r>
              <w:r w:rsidRPr="00B35ECA">
                <w:rPr>
                  <w:szCs w:val="20"/>
                  <w:vertAlign w:val="superscript"/>
                </w:rPr>
                <w:t>2</w:t>
              </w:r>
            </w:smartTag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>Przed odbiorem:</w:t>
            </w: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w 3 punktach, lecz nie rzadziej niż raz na </w:t>
            </w:r>
            <w:smartTag w:uri="urn:schemas-microsoft-com:office:smarttags" w:element="metricconverter">
              <w:smartTagPr>
                <w:attr w:name="ProductID" w:val="2000 m2"/>
              </w:smartTagPr>
              <w:r w:rsidRPr="00B35ECA">
                <w:rPr>
                  <w:szCs w:val="20"/>
                </w:rPr>
                <w:t>2000 m</w:t>
              </w:r>
              <w:r w:rsidRPr="00B35ECA">
                <w:rPr>
                  <w:szCs w:val="20"/>
                  <w:vertAlign w:val="superscript"/>
                </w:rPr>
                <w:t>2</w:t>
              </w:r>
            </w:smartTag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8</w:t>
            </w:r>
          </w:p>
        </w:tc>
        <w:tc>
          <w:tcPr>
            <w:tcW w:w="4395" w:type="dxa"/>
          </w:tcPr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Nośność podbudowy:</w:t>
            </w:r>
          </w:p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- moduł odkształcenia</w:t>
            </w:r>
          </w:p>
          <w:p w:rsidR="00B35ECA" w:rsidRPr="00B35ECA" w:rsidRDefault="00B35ECA" w:rsidP="0002377A">
            <w:pPr>
              <w:rPr>
                <w:sz w:val="20"/>
                <w:szCs w:val="20"/>
              </w:rPr>
            </w:pPr>
          </w:p>
          <w:p w:rsidR="00B35ECA" w:rsidRPr="00B35ECA" w:rsidRDefault="00B35ECA" w:rsidP="0002377A">
            <w:pPr>
              <w:rPr>
                <w:sz w:val="20"/>
                <w:szCs w:val="20"/>
              </w:rPr>
            </w:pPr>
            <w:r w:rsidRPr="00B35ECA">
              <w:rPr>
                <w:sz w:val="20"/>
                <w:szCs w:val="20"/>
              </w:rPr>
              <w:t>- ugięcie sprężyste</w:t>
            </w:r>
          </w:p>
          <w:p w:rsidR="00B35ECA" w:rsidRPr="00B35ECA" w:rsidRDefault="00B35ECA" w:rsidP="0002377A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co najmniej w dwóch przekrojach na każde </w:t>
            </w:r>
            <w:smartTag w:uri="urn:schemas-microsoft-com:office:smarttags" w:element="metricconverter">
              <w:smartTagPr>
                <w:attr w:name="ProductID" w:val="1000 m"/>
              </w:smartTagPr>
              <w:r w:rsidRPr="00B35ECA">
                <w:rPr>
                  <w:szCs w:val="20"/>
                </w:rPr>
                <w:t>1000 m</w:t>
              </w:r>
            </w:smartTag>
          </w:p>
          <w:p w:rsidR="00B35ECA" w:rsidRPr="00B35ECA" w:rsidRDefault="00B35ECA" w:rsidP="0002377A">
            <w:pPr>
              <w:pStyle w:val="Tabela-SST"/>
              <w:rPr>
                <w:szCs w:val="20"/>
              </w:rPr>
            </w:pPr>
            <w:r w:rsidRPr="00B35ECA">
              <w:rPr>
                <w:szCs w:val="20"/>
              </w:rPr>
              <w:t xml:space="preserve">co najmniej w 20 punktach na każde </w:t>
            </w:r>
            <w:smartTag w:uri="urn:schemas-microsoft-com:office:smarttags" w:element="metricconverter">
              <w:smartTagPr>
                <w:attr w:name="ProductID" w:val="1000 m"/>
              </w:smartTagPr>
              <w:r w:rsidRPr="00B35ECA">
                <w:rPr>
                  <w:szCs w:val="20"/>
                </w:rPr>
                <w:t>1000 m</w:t>
              </w:r>
            </w:smartTag>
          </w:p>
        </w:tc>
      </w:tr>
    </w:tbl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>*) Dodatkowe pomiary spadków poprzecznych i ukształtowania osi w planie należy wykonać w punktach głównych łuków poziomych.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 xml:space="preserve">6.4.2.  Szerokość podbudowy 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Szerokość podbudowy nie może różnić się od szerokości projektowanej o więcej niż +</w:t>
      </w:r>
      <w:smartTag w:uri="urn:schemas-microsoft-com:office:smarttags" w:element="metricconverter">
        <w:smartTagPr>
          <w:attr w:name="ProductID" w:val="10 cm"/>
        </w:smartTagPr>
        <w:r w:rsidRPr="00B35ECA">
          <w:rPr>
            <w:sz w:val="20"/>
            <w:szCs w:val="20"/>
          </w:rPr>
          <w:t>10 cm</w:t>
        </w:r>
      </w:smartTag>
      <w:r w:rsidRPr="00B35ECA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-5 cm"/>
        </w:smartTagPr>
        <w:r w:rsidRPr="00B35ECA">
          <w:rPr>
            <w:sz w:val="20"/>
            <w:szCs w:val="20"/>
          </w:rPr>
          <w:t xml:space="preserve">-5 </w:t>
        </w:r>
        <w:proofErr w:type="spellStart"/>
        <w:r w:rsidRPr="00B35ECA">
          <w:rPr>
            <w:sz w:val="20"/>
            <w:szCs w:val="20"/>
          </w:rPr>
          <w:t>cm</w:t>
        </w:r>
      </w:smartTag>
      <w:proofErr w:type="spellEnd"/>
      <w:r w:rsidRPr="00B35ECA">
        <w:rPr>
          <w:sz w:val="20"/>
          <w:szCs w:val="20"/>
        </w:rPr>
        <w:t>.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Na jezdniach bez krawężników szerokość podbudowy powinna być większa od szerokości warstwy wyżej leżącej o co najmniej </w:t>
      </w:r>
      <w:smartTag w:uri="urn:schemas-microsoft-com:office:smarttags" w:element="metricconverter">
        <w:smartTagPr>
          <w:attr w:name="ProductID" w:val="25 cm"/>
        </w:smartTagPr>
        <w:r w:rsidRPr="00B35ECA">
          <w:rPr>
            <w:sz w:val="20"/>
            <w:szCs w:val="20"/>
          </w:rPr>
          <w:t>25 cm</w:t>
        </w:r>
      </w:smartTag>
      <w:r w:rsidRPr="00B35ECA">
        <w:rPr>
          <w:sz w:val="20"/>
          <w:szCs w:val="20"/>
        </w:rPr>
        <w:t xml:space="preserve"> lub o wartość wskazaną w dokumentacji projektowej.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 xml:space="preserve">6.4.3. Równość podbudowy 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Nierówności podłużne podbudowy należy mierzyć 4-metrową łatą lub </w:t>
      </w:r>
      <w:proofErr w:type="spellStart"/>
      <w:r w:rsidRPr="00B35ECA">
        <w:rPr>
          <w:sz w:val="20"/>
          <w:szCs w:val="20"/>
        </w:rPr>
        <w:t>planografem</w:t>
      </w:r>
      <w:proofErr w:type="spellEnd"/>
      <w:r w:rsidRPr="00B35ECA">
        <w:rPr>
          <w:sz w:val="20"/>
          <w:szCs w:val="20"/>
        </w:rPr>
        <w:t xml:space="preserve">, zgodnie z BN-68/8931-04 [28]. </w:t>
      </w:r>
      <w:r w:rsidRPr="00B35ECA">
        <w:rPr>
          <w:sz w:val="20"/>
          <w:szCs w:val="20"/>
        </w:rPr>
        <w:tab/>
        <w:t xml:space="preserve">Nierówności poprzeczne podbudowy należy mierzyć 4-metrową łatą. 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Nierówności podbudowy  nie mogą przekraczać: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 xml:space="preserve">-  </w:t>
      </w:r>
      <w:smartTag w:uri="urn:schemas-microsoft-com:office:smarttags" w:element="metricconverter">
        <w:smartTagPr>
          <w:attr w:name="ProductID" w:val="10 mm"/>
        </w:smartTagPr>
        <w:r w:rsidRPr="00B35ECA">
          <w:rPr>
            <w:sz w:val="20"/>
            <w:szCs w:val="20"/>
          </w:rPr>
          <w:t>10 mm</w:t>
        </w:r>
      </w:smartTag>
      <w:r w:rsidRPr="00B35ECA">
        <w:rPr>
          <w:sz w:val="20"/>
          <w:szCs w:val="20"/>
        </w:rPr>
        <w:t xml:space="preserve"> dla podbudowy zasadniczej,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 xml:space="preserve">-  </w:t>
      </w:r>
      <w:smartTag w:uri="urn:schemas-microsoft-com:office:smarttags" w:element="metricconverter">
        <w:smartTagPr>
          <w:attr w:name="ProductID" w:val="20 mm"/>
        </w:smartTagPr>
        <w:r w:rsidRPr="00B35ECA">
          <w:rPr>
            <w:sz w:val="20"/>
            <w:szCs w:val="20"/>
          </w:rPr>
          <w:t>20 mm</w:t>
        </w:r>
      </w:smartTag>
      <w:r w:rsidRPr="00B35ECA">
        <w:rPr>
          <w:sz w:val="20"/>
          <w:szCs w:val="20"/>
        </w:rPr>
        <w:t xml:space="preserve"> dla podbudowy pomocniczej.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 xml:space="preserve">6.4.4. Spadki poprzeczne podbudowy 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Spadki poprzeczne podbudowy na prostych i łukach powinny być zgodne z dokumentacją projektową,  z tol</w:t>
      </w:r>
      <w:r w:rsidRPr="00B35ECA">
        <w:rPr>
          <w:sz w:val="20"/>
          <w:szCs w:val="20"/>
        </w:rPr>
        <w:t>e</w:t>
      </w:r>
      <w:r w:rsidRPr="00B35ECA">
        <w:rPr>
          <w:sz w:val="20"/>
          <w:szCs w:val="20"/>
        </w:rPr>
        <w:t xml:space="preserve">rancją </w:t>
      </w:r>
      <w:r w:rsidRPr="00B35ECA">
        <w:rPr>
          <w:sz w:val="20"/>
          <w:szCs w:val="20"/>
        </w:rPr>
        <w:sym w:font="Symbol" w:char="F0B1"/>
      </w:r>
      <w:r w:rsidRPr="00B35ECA">
        <w:rPr>
          <w:sz w:val="20"/>
          <w:szCs w:val="20"/>
        </w:rPr>
        <w:t xml:space="preserve"> 0,5 %.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 xml:space="preserve">6.4.5. Rzędne wysokościowe podbudowy 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Różnice pomiędzy rzędnymi wysokościowymi podbudowy i rzędnymi projektowanymi nie powinny przekr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 xml:space="preserve">czać + </w:t>
      </w:r>
      <w:smartTag w:uri="urn:schemas-microsoft-com:office:smarttags" w:element="metricconverter">
        <w:smartTagPr>
          <w:attr w:name="ProductID" w:val="1 cm"/>
        </w:smartTagPr>
        <w:r w:rsidRPr="00B35ECA">
          <w:rPr>
            <w:sz w:val="20"/>
            <w:szCs w:val="20"/>
          </w:rPr>
          <w:t>1 cm</w:t>
        </w:r>
      </w:smartTag>
      <w:r w:rsidRPr="00B35ECA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-2 cm"/>
        </w:smartTagPr>
        <w:r w:rsidRPr="00B35ECA">
          <w:rPr>
            <w:sz w:val="20"/>
            <w:szCs w:val="20"/>
          </w:rPr>
          <w:t xml:space="preserve">-2 </w:t>
        </w:r>
        <w:proofErr w:type="spellStart"/>
        <w:r w:rsidRPr="00B35ECA">
          <w:rPr>
            <w:sz w:val="20"/>
            <w:szCs w:val="20"/>
          </w:rPr>
          <w:t>cm</w:t>
        </w:r>
      </w:smartTag>
      <w:proofErr w:type="spellEnd"/>
      <w:r w:rsidRPr="00B35ECA">
        <w:rPr>
          <w:sz w:val="20"/>
          <w:szCs w:val="20"/>
        </w:rPr>
        <w:t>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>6.4.6. Ukształtowanie osi podbudowy i ulepszonego podłoża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Oś podbudowy w planie nie może być przesunięta w stosunku do osi projektowanej o więcej niż </w:t>
      </w:r>
      <w:r w:rsidRPr="00B35ECA">
        <w:rPr>
          <w:sz w:val="20"/>
          <w:szCs w:val="20"/>
        </w:rPr>
        <w:sym w:font="Symbol" w:char="F0B1"/>
      </w:r>
      <w:r w:rsidRPr="00B35EC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B35ECA">
          <w:rPr>
            <w:sz w:val="20"/>
            <w:szCs w:val="20"/>
          </w:rPr>
          <w:t xml:space="preserve">5 </w:t>
        </w:r>
        <w:proofErr w:type="spellStart"/>
        <w:r w:rsidRPr="00B35ECA">
          <w:rPr>
            <w:sz w:val="20"/>
            <w:szCs w:val="20"/>
          </w:rPr>
          <w:t>cm</w:t>
        </w:r>
      </w:smartTag>
      <w:proofErr w:type="spellEnd"/>
      <w:r w:rsidRPr="00B35ECA">
        <w:rPr>
          <w:sz w:val="20"/>
          <w:szCs w:val="20"/>
        </w:rPr>
        <w:t>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>6.4.7.Grubość podbudowy i ulepszonego podłoża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Grubość podbudowy nie może się  różnić od grubości projektowanej o więcej niż:</w:t>
      </w:r>
    </w:p>
    <w:p w:rsidR="00B35ECA" w:rsidRPr="00B35ECA" w:rsidRDefault="00B35ECA" w:rsidP="00B35ECA">
      <w:pPr>
        <w:pStyle w:val="Nagwek6"/>
        <w:numPr>
          <w:ilvl w:val="0"/>
          <w:numId w:val="2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 xml:space="preserve">dla podbudowy zasadniczej  </w:t>
      </w:r>
      <w:r w:rsidRPr="00B35ECA">
        <w:rPr>
          <w:b w:val="0"/>
          <w:sz w:val="20"/>
          <w:szCs w:val="20"/>
        </w:rPr>
        <w:sym w:font="Symbol" w:char="F0B1"/>
      </w:r>
      <w:r w:rsidRPr="00B35ECA">
        <w:rPr>
          <w:b w:val="0"/>
          <w:sz w:val="20"/>
          <w:szCs w:val="20"/>
        </w:rPr>
        <w:t xml:space="preserve"> 10%,</w:t>
      </w:r>
    </w:p>
    <w:p w:rsidR="00B35ECA" w:rsidRPr="00B35ECA" w:rsidRDefault="00B35ECA" w:rsidP="00B35ECA">
      <w:pPr>
        <w:pStyle w:val="Nagwek6"/>
        <w:numPr>
          <w:ilvl w:val="0"/>
          <w:numId w:val="2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lastRenderedPageBreak/>
        <w:t>dla podbudowy pomocniczej +10%, -15%.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>6.4.8. Nośność podbudowy</w:t>
      </w:r>
    </w:p>
    <w:p w:rsidR="00B35ECA" w:rsidRPr="00B35ECA" w:rsidRDefault="00B35ECA" w:rsidP="00B35ECA">
      <w:pPr>
        <w:pStyle w:val="Nagwek6"/>
        <w:numPr>
          <w:ilvl w:val="0"/>
          <w:numId w:val="3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moduł odkształcenia wg BN-64/8931-02 [27] powinien być zgodny z podanym w tablicy 4,</w:t>
      </w:r>
    </w:p>
    <w:p w:rsidR="00B35ECA" w:rsidRPr="00B35ECA" w:rsidRDefault="00B35ECA" w:rsidP="00B35ECA">
      <w:pPr>
        <w:pStyle w:val="Nagwek6"/>
        <w:numPr>
          <w:ilvl w:val="0"/>
          <w:numId w:val="3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ugięcie sprężyste wg BN-70/8931-06 [29] powinno być zgodne z podanym w tablicy 4.</w:t>
      </w:r>
    </w:p>
    <w:p w:rsidR="00B35ECA" w:rsidRPr="00B35ECA" w:rsidRDefault="00B35ECA" w:rsidP="00B35ECA">
      <w:pPr>
        <w:pStyle w:val="tekstost"/>
        <w:spacing w:before="240" w:after="120"/>
      </w:pPr>
    </w:p>
    <w:p w:rsidR="00B35ECA" w:rsidRPr="00B35ECA" w:rsidRDefault="00B35ECA" w:rsidP="00B35ECA">
      <w:pPr>
        <w:pStyle w:val="tekstost"/>
        <w:spacing w:before="240" w:after="120"/>
      </w:pPr>
    </w:p>
    <w:p w:rsidR="00B35ECA" w:rsidRPr="00B35ECA" w:rsidRDefault="00B35ECA" w:rsidP="00B35ECA">
      <w:pPr>
        <w:pStyle w:val="tekstost"/>
        <w:spacing w:before="240" w:after="120"/>
      </w:pPr>
    </w:p>
    <w:p w:rsidR="00B35ECA" w:rsidRPr="00B35ECA" w:rsidRDefault="00B35ECA" w:rsidP="00B35ECA">
      <w:pPr>
        <w:pStyle w:val="tekstost"/>
        <w:spacing w:before="240" w:after="120"/>
      </w:pPr>
      <w:r w:rsidRPr="00B35ECA">
        <w:t>Tablica 4. Cechy podbudowy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276"/>
        <w:gridCol w:w="1257"/>
        <w:gridCol w:w="1295"/>
        <w:gridCol w:w="19"/>
        <w:gridCol w:w="1114"/>
        <w:gridCol w:w="1276"/>
      </w:tblGrid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top w:val="single" w:sz="6" w:space="0" w:color="auto"/>
              <w:lef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</w:p>
        </w:tc>
        <w:tc>
          <w:tcPr>
            <w:tcW w:w="623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Wymagane cechy podbudowy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lef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Podbudowa</w:t>
            </w:r>
          </w:p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z kruszywa o wskaźniku w</w:t>
            </w:r>
            <w:r w:rsidRPr="00B35ECA">
              <w:rPr>
                <w:szCs w:val="20"/>
                <w:vertAlign w:val="subscript"/>
              </w:rPr>
              <w:t>noś</w:t>
            </w:r>
            <w:r w:rsidRPr="00B35ECA">
              <w:rPr>
                <w:szCs w:val="20"/>
              </w:rPr>
              <w:t xml:space="preserve"> nie mniejszym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Wskaźnik zagęszczenia I</w:t>
            </w:r>
            <w:r w:rsidRPr="00B35ECA">
              <w:rPr>
                <w:szCs w:val="20"/>
                <w:vertAlign w:val="subscript"/>
              </w:rPr>
              <w:t>S</w:t>
            </w:r>
            <w:r w:rsidRPr="00B35ECA">
              <w:rPr>
                <w:szCs w:val="20"/>
              </w:rPr>
              <w:t xml:space="preserve">   nie</w:t>
            </w:r>
          </w:p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 xml:space="preserve">mniejszy niż 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</w:p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Maksymalne ugięcie sprężyste pod kołem, mm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 xml:space="preserve">Minimalny moduł odkształ-cenia mierzony płytą o średnicy 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B35ECA">
                <w:rPr>
                  <w:szCs w:val="20"/>
                </w:rPr>
                <w:t>30 cm</w:t>
              </w:r>
            </w:smartTag>
            <w:r w:rsidRPr="00B35ECA">
              <w:rPr>
                <w:szCs w:val="20"/>
              </w:rPr>
              <w:t>, MPa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niż,   %</w:t>
            </w:r>
          </w:p>
        </w:tc>
        <w:tc>
          <w:tcPr>
            <w:tcW w:w="127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</w:p>
        </w:tc>
        <w:tc>
          <w:tcPr>
            <w:tcW w:w="1257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40 kN</w:t>
            </w:r>
          </w:p>
        </w:tc>
        <w:tc>
          <w:tcPr>
            <w:tcW w:w="1314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50 kN</w:t>
            </w:r>
          </w:p>
        </w:tc>
        <w:tc>
          <w:tcPr>
            <w:tcW w:w="111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od pierwszego obciążenia E</w:t>
            </w:r>
            <w:r w:rsidRPr="00B35ECA">
              <w:rPr>
                <w:szCs w:val="20"/>
                <w:vertAlign w:val="subscript"/>
              </w:rPr>
              <w:t>1</w:t>
            </w:r>
          </w:p>
        </w:tc>
        <w:tc>
          <w:tcPr>
            <w:tcW w:w="127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od drugiego obciążenia E</w:t>
            </w:r>
            <w:r w:rsidRPr="00B35ECA">
              <w:rPr>
                <w:szCs w:val="20"/>
                <w:vertAlign w:val="subscript"/>
              </w:rPr>
              <w:t>2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33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120 (dla drogi wojewódzkiej)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1,03</w:t>
            </w:r>
          </w:p>
        </w:tc>
        <w:tc>
          <w:tcPr>
            <w:tcW w:w="12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1,10</w:t>
            </w:r>
          </w:p>
        </w:tc>
        <w:tc>
          <w:tcPr>
            <w:tcW w:w="131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1,20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ECA" w:rsidRPr="00B35ECA" w:rsidRDefault="00B35ECA" w:rsidP="0002377A">
            <w:pPr>
              <w:pStyle w:val="Tabela-SST"/>
              <w:tabs>
                <w:tab w:val="left" w:pos="-70"/>
              </w:tabs>
              <w:rPr>
                <w:szCs w:val="20"/>
              </w:rPr>
            </w:pPr>
            <w:r w:rsidRPr="00B35ECA">
              <w:rPr>
                <w:szCs w:val="20"/>
              </w:rPr>
              <w:t>180</w:t>
            </w:r>
          </w:p>
        </w:tc>
      </w:tr>
    </w:tbl>
    <w:p w:rsidR="00B35ECA" w:rsidRPr="00B35ECA" w:rsidRDefault="00B35ECA" w:rsidP="00B35ECA">
      <w:pPr>
        <w:rPr>
          <w:sz w:val="20"/>
          <w:szCs w:val="20"/>
        </w:rPr>
      </w:pP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 xml:space="preserve">6.5. Zasady postępowania z wadliwie wykonanymi odcinkami podbudowy 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 xml:space="preserve">6.5.1. Niewłaściwe cechy geometryczne podbudowy 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>Wszystkie powierzchnie podbudowy, które wykazują większe odchylenia od  określonych w punkcie 6.4 p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 xml:space="preserve">winny być naprawione przez spulchnienie lub zerwanie do głębokości co najmniej </w:t>
      </w:r>
      <w:smartTag w:uri="urn:schemas-microsoft-com:office:smarttags" w:element="metricconverter">
        <w:smartTagPr>
          <w:attr w:name="ProductID" w:val="10 cm"/>
        </w:smartTagPr>
        <w:r w:rsidRPr="00B35ECA">
          <w:rPr>
            <w:sz w:val="20"/>
            <w:szCs w:val="20"/>
          </w:rPr>
          <w:t>10 cm</w:t>
        </w:r>
      </w:smartTag>
      <w:r w:rsidRPr="00B35ECA">
        <w:rPr>
          <w:sz w:val="20"/>
          <w:szCs w:val="20"/>
        </w:rPr>
        <w:t>, wyrównane i powtórnie z</w:t>
      </w:r>
      <w:r w:rsidRPr="00B35ECA">
        <w:rPr>
          <w:sz w:val="20"/>
          <w:szCs w:val="20"/>
        </w:rPr>
        <w:t>a</w:t>
      </w:r>
      <w:r w:rsidRPr="00B35ECA">
        <w:rPr>
          <w:sz w:val="20"/>
          <w:szCs w:val="20"/>
        </w:rPr>
        <w:t>gęszczone. Dodanie nowego materiału bez spulchnienia wykonanej warstwy jest niedopuszczalne.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Jeżeli szerokość podbudowy jest mniejsza od szerokości projektowanej o więcej niż </w:t>
      </w:r>
      <w:smartTag w:uri="urn:schemas-microsoft-com:office:smarttags" w:element="metricconverter">
        <w:smartTagPr>
          <w:attr w:name="ProductID" w:val="5 cm"/>
        </w:smartTagPr>
        <w:r w:rsidRPr="00B35ECA">
          <w:rPr>
            <w:sz w:val="20"/>
            <w:szCs w:val="20"/>
          </w:rPr>
          <w:t>5 cm</w:t>
        </w:r>
      </w:smartTag>
      <w:r w:rsidRPr="00B35ECA">
        <w:rPr>
          <w:sz w:val="20"/>
          <w:szCs w:val="20"/>
        </w:rPr>
        <w:t xml:space="preserve"> i nie zapewnia podparcia warstwom wyżej leżącym, to Wykonawca powinien na własny koszt posz</w:t>
      </w:r>
      <w:r w:rsidRPr="00B35ECA">
        <w:rPr>
          <w:sz w:val="20"/>
          <w:szCs w:val="20"/>
        </w:rPr>
        <w:t>e</w:t>
      </w:r>
      <w:r w:rsidRPr="00B35ECA">
        <w:rPr>
          <w:sz w:val="20"/>
          <w:szCs w:val="20"/>
        </w:rPr>
        <w:t>rzyć podbudowę przez spulchnienie warstwy na pełną grubość do połowy szerokości pasa ruchu, dołożenie materiału i powtórne zagęszczenie.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 xml:space="preserve">6.5.2. Niewłaściwa grubość podbudowy </w:t>
      </w:r>
    </w:p>
    <w:p w:rsidR="00B35ECA" w:rsidRPr="00B35ECA" w:rsidRDefault="00B35ECA" w:rsidP="00B35ECA">
      <w:pPr>
        <w:jc w:val="both"/>
        <w:rPr>
          <w:sz w:val="20"/>
          <w:szCs w:val="20"/>
        </w:rPr>
      </w:pPr>
      <w:r w:rsidRPr="00B35ECA">
        <w:rPr>
          <w:sz w:val="20"/>
          <w:szCs w:val="20"/>
        </w:rPr>
        <w:tab/>
        <w:t>Na wszystkich powierzchniach wadliwych pod względem grubości, Wykonawca wykona naprawę podbud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>wy. Powierzchnie powinny być naprawione przez spulchnienie lub wybranie warstwy na odpowiednią głębokość, zgodnie z decyzją Inżyniera, uzupełnione nowym materiałem o odpowiednich właściwościach, wyrównane i ponownie zagęszczone. Roboty te Wykonawca wyk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>na na własny koszt. Po wykonaniu tych robót nastąpi ponowny pomiar i ocena grubości warstwy, według wyżej podanych zasad, na koszt Wykonawcy.</w:t>
      </w:r>
    </w:p>
    <w:p w:rsidR="00B35ECA" w:rsidRPr="00B35ECA" w:rsidRDefault="00B35ECA" w:rsidP="00B35ECA">
      <w:pPr>
        <w:pStyle w:val="Nagwek4"/>
        <w:keepNext w:val="0"/>
        <w:numPr>
          <w:ilvl w:val="3"/>
          <w:numId w:val="0"/>
        </w:numPr>
        <w:tabs>
          <w:tab w:val="left" w:pos="0"/>
          <w:tab w:val="left" w:pos="284"/>
          <w:tab w:val="left" w:pos="1134"/>
          <w:tab w:val="right" w:leader="dot" w:pos="7371"/>
          <w:tab w:val="right" w:leader="dot" w:pos="8789"/>
        </w:tabs>
        <w:overflowPunct w:val="0"/>
        <w:autoSpaceDE w:val="0"/>
        <w:autoSpaceDN w:val="0"/>
        <w:adjustRightInd w:val="0"/>
        <w:spacing w:before="60"/>
        <w:rPr>
          <w:sz w:val="20"/>
          <w:szCs w:val="20"/>
        </w:rPr>
      </w:pPr>
      <w:r w:rsidRPr="00B35ECA">
        <w:rPr>
          <w:sz w:val="20"/>
          <w:szCs w:val="20"/>
        </w:rPr>
        <w:t xml:space="preserve">6.3.3. Niewłaściwa nośność podbudowy 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Jeżeli nośność podbudowy będzie mniejsza od wymaganej, to Wykonawca wykona wszelkie roboty niezbędne do zapewnienia wymaganej nośności, zalecone przez Inżyniera.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Koszty tych dodatkowych robót poniesie Wykonawca podbudowy tylko wtedy, gdy zaniżenie nośności podbudowy wynikło z niewłaściwego wykonania robót przez Wykonawcę podbud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>wy.</w:t>
      </w:r>
    </w:p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t>7. OBMIAR ROBÓT</w:t>
      </w:r>
    </w:p>
    <w:p w:rsidR="00B35ECA" w:rsidRPr="00B35ECA" w:rsidRDefault="00B35ECA" w:rsidP="00B35ECA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B35ECA">
        <w:rPr>
          <w:b/>
          <w:sz w:val="20"/>
          <w:szCs w:val="20"/>
        </w:rPr>
        <w:t>7.1. Ogólne zasady obmiaru robót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Ogólne zasady obmiaru robót podano w ST D-00.00.00 „Wymagania ogólne”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7.</w:t>
      </w: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i w:val="0"/>
          <w:color w:val="auto"/>
          <w:sz w:val="20"/>
          <w:szCs w:val="20"/>
        </w:rPr>
      </w:pPr>
      <w:r w:rsidRPr="00B35ECA">
        <w:rPr>
          <w:i w:val="0"/>
          <w:color w:val="auto"/>
          <w:sz w:val="20"/>
          <w:szCs w:val="20"/>
        </w:rPr>
        <w:t>7.2. Jednostka obmiarowa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Jednostką obmiarową jest  m</w:t>
      </w:r>
      <w:r w:rsidRPr="00B35ECA">
        <w:rPr>
          <w:sz w:val="20"/>
          <w:szCs w:val="20"/>
          <w:vertAlign w:val="superscript"/>
        </w:rPr>
        <w:t>2</w:t>
      </w:r>
      <w:r w:rsidRPr="00B35ECA">
        <w:rPr>
          <w:sz w:val="20"/>
          <w:szCs w:val="20"/>
        </w:rPr>
        <w:t xml:space="preserve"> (metr kwadratowy) podbudowy  z kruszywa stabilizowanego mechanicznie.</w:t>
      </w:r>
    </w:p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t>8. ODBIÓR ROBÓT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Ogólne zasady odbioru robót podano w ST D-00.00.00 „Wymagania ogólne”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8.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lastRenderedPageBreak/>
        <w:tab/>
        <w:t>Roboty uznaje się za zgodne z dokumentacją projektową, ST i wymaganiami Inżyniera, jeżeli wszystkie p</w:t>
      </w:r>
      <w:r w:rsidRPr="00B35ECA">
        <w:rPr>
          <w:sz w:val="20"/>
          <w:szCs w:val="20"/>
        </w:rPr>
        <w:t>o</w:t>
      </w:r>
      <w:r w:rsidRPr="00B35ECA">
        <w:rPr>
          <w:sz w:val="20"/>
          <w:szCs w:val="20"/>
        </w:rPr>
        <w:t xml:space="preserve">miary i badania z zachowaniem tolerancji wg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6 dały wyniki pozytywne.</w:t>
      </w:r>
    </w:p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t>9. PODSTAWA PŁATNOŚCI</w:t>
      </w:r>
    </w:p>
    <w:p w:rsidR="00B35ECA" w:rsidRPr="00B35ECA" w:rsidRDefault="00B35ECA" w:rsidP="00B35ECA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B35ECA">
        <w:rPr>
          <w:b/>
          <w:sz w:val="20"/>
          <w:szCs w:val="20"/>
        </w:rPr>
        <w:t>9.1. Ogólne ustalenia dotyczące podstawy płatności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 xml:space="preserve">Ogólne ustalenia dotyczące podstawy płatności podano w ST D-00.00.00 „Wymagania ogólne” </w:t>
      </w:r>
      <w:proofErr w:type="spellStart"/>
      <w:r w:rsidRPr="00B35ECA">
        <w:rPr>
          <w:sz w:val="20"/>
          <w:szCs w:val="20"/>
        </w:rPr>
        <w:t>pkt</w:t>
      </w:r>
      <w:proofErr w:type="spellEnd"/>
      <w:r w:rsidRPr="00B35ECA">
        <w:rPr>
          <w:sz w:val="20"/>
          <w:szCs w:val="20"/>
        </w:rPr>
        <w:t xml:space="preserve"> 9.</w:t>
      </w:r>
    </w:p>
    <w:p w:rsidR="00B35ECA" w:rsidRPr="00B35ECA" w:rsidRDefault="00B35ECA" w:rsidP="00B35ECA">
      <w:pPr>
        <w:rPr>
          <w:sz w:val="20"/>
          <w:szCs w:val="20"/>
        </w:rPr>
      </w:pP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i w:val="0"/>
          <w:color w:val="auto"/>
          <w:sz w:val="20"/>
          <w:szCs w:val="20"/>
        </w:rPr>
      </w:pPr>
      <w:r w:rsidRPr="00B35ECA">
        <w:rPr>
          <w:i w:val="0"/>
          <w:color w:val="auto"/>
          <w:sz w:val="20"/>
          <w:szCs w:val="20"/>
        </w:rPr>
        <w:t>9.2. Cena jednostki obmiarowej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ab/>
        <w:t>Cena wykonania 1m</w:t>
      </w:r>
      <w:r w:rsidRPr="00B35ECA">
        <w:rPr>
          <w:sz w:val="20"/>
          <w:szCs w:val="20"/>
          <w:vertAlign w:val="superscript"/>
        </w:rPr>
        <w:t>2</w:t>
      </w:r>
      <w:r w:rsidRPr="00B35ECA">
        <w:rPr>
          <w:sz w:val="20"/>
          <w:szCs w:val="20"/>
        </w:rPr>
        <w:t xml:space="preserve"> podbudowy obejmuje:</w:t>
      </w:r>
    </w:p>
    <w:p w:rsidR="00B35ECA" w:rsidRPr="00B35ECA" w:rsidRDefault="00B35ECA" w:rsidP="00B35ECA">
      <w:pPr>
        <w:pStyle w:val="Nagwek6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prace pomiarowe i roboty przygotowawcze,</w:t>
      </w:r>
    </w:p>
    <w:p w:rsidR="00B35ECA" w:rsidRPr="00B35ECA" w:rsidRDefault="00B35ECA" w:rsidP="00B35ECA">
      <w:pPr>
        <w:pStyle w:val="Nagwek6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oznakowanie robót,</w:t>
      </w:r>
    </w:p>
    <w:p w:rsidR="00B35ECA" w:rsidRPr="00B35ECA" w:rsidRDefault="00B35ECA" w:rsidP="00B35ECA">
      <w:pPr>
        <w:pStyle w:val="Nagwek6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sprawdzenie i ewentualną naprawę podłoża,</w:t>
      </w:r>
    </w:p>
    <w:p w:rsidR="00B35ECA" w:rsidRPr="00B35ECA" w:rsidRDefault="00B35ECA" w:rsidP="00B35ECA">
      <w:pPr>
        <w:pStyle w:val="Nagwek6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przygotowanie mieszanki z kruszywa, zgodnie z receptą,</w:t>
      </w:r>
    </w:p>
    <w:p w:rsidR="00B35ECA" w:rsidRPr="00B35ECA" w:rsidRDefault="00B35ECA" w:rsidP="00B35ECA">
      <w:pPr>
        <w:pStyle w:val="Nagwek6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dostarczenie mieszanki na miejsce wbudowania,</w:t>
      </w:r>
    </w:p>
    <w:p w:rsidR="00B35ECA" w:rsidRPr="00B35ECA" w:rsidRDefault="00B35ECA" w:rsidP="00B35ECA">
      <w:pPr>
        <w:pStyle w:val="Nagwek6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rozłożenie mieszanki,</w:t>
      </w:r>
    </w:p>
    <w:p w:rsidR="00B35ECA" w:rsidRPr="00B35ECA" w:rsidRDefault="00B35ECA" w:rsidP="00B35ECA">
      <w:pPr>
        <w:pStyle w:val="Nagwek6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zagęszczenie rozłożonej mieszanki,</w:t>
      </w:r>
    </w:p>
    <w:p w:rsidR="00B35ECA" w:rsidRPr="00B35ECA" w:rsidRDefault="00B35ECA" w:rsidP="00B35ECA">
      <w:pPr>
        <w:pStyle w:val="Nagwek6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przeprowadzenie pomiarów i badań laboratoryjnych określonych w specyfikacji technicznej,</w:t>
      </w:r>
    </w:p>
    <w:p w:rsidR="00B35ECA" w:rsidRPr="00B35ECA" w:rsidRDefault="00B35ECA" w:rsidP="00B35ECA">
      <w:pPr>
        <w:pStyle w:val="Nagwek6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2552"/>
          <w:tab w:val="right" w:leader="dot" w:pos="2835"/>
        </w:tabs>
        <w:overflowPunct w:val="0"/>
        <w:autoSpaceDE w:val="0"/>
        <w:autoSpaceDN w:val="0"/>
        <w:adjustRightInd w:val="0"/>
        <w:spacing w:before="0" w:after="0"/>
        <w:rPr>
          <w:b w:val="0"/>
          <w:sz w:val="20"/>
          <w:szCs w:val="20"/>
        </w:rPr>
      </w:pPr>
      <w:r w:rsidRPr="00B35ECA">
        <w:rPr>
          <w:b w:val="0"/>
          <w:sz w:val="20"/>
          <w:szCs w:val="20"/>
        </w:rPr>
        <w:t>utrzymanie podbudowy w czasie robót.</w:t>
      </w:r>
    </w:p>
    <w:p w:rsidR="00B35ECA" w:rsidRPr="00B35ECA" w:rsidRDefault="00B35ECA" w:rsidP="00B35ECA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r w:rsidRPr="00B35ECA">
        <w:rPr>
          <w:b/>
          <w:caps/>
          <w:kern w:val="28"/>
          <w:sz w:val="20"/>
          <w:szCs w:val="20"/>
        </w:rPr>
        <w:t>10. PRZEPISY ZWIĄZANE</w:t>
      </w:r>
    </w:p>
    <w:p w:rsidR="00B35ECA" w:rsidRPr="00B35ECA" w:rsidRDefault="00B35ECA" w:rsidP="00B35ECA">
      <w:pPr>
        <w:keepNext/>
        <w:overflowPunct w:val="0"/>
        <w:autoSpaceDE w:val="0"/>
        <w:autoSpaceDN w:val="0"/>
        <w:adjustRightInd w:val="0"/>
        <w:spacing w:after="120"/>
        <w:jc w:val="both"/>
        <w:outlineLvl w:val="1"/>
        <w:rPr>
          <w:b/>
          <w:sz w:val="20"/>
          <w:szCs w:val="20"/>
        </w:rPr>
      </w:pPr>
      <w:r w:rsidRPr="00B35ECA">
        <w:rPr>
          <w:b/>
          <w:sz w:val="20"/>
          <w:szCs w:val="20"/>
        </w:rPr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1701"/>
        <w:gridCol w:w="7371"/>
      </w:tblGrid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  1.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PN-B-04481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Grunty budowlane. Badania próbek gruntu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  2.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PN-B-06714-12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zawartości zanieczyszczeń obcych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  3.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PN-B-06714-15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składu ziarnowego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  4.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PN-B-06714-16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Kruszywa mineralne. Badania. Oznaczanie kształtu </w:t>
            </w:r>
            <w:proofErr w:type="spellStart"/>
            <w:r w:rsidRPr="00B35ECA">
              <w:t>ziarn</w:t>
            </w:r>
            <w:proofErr w:type="spellEnd"/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  5.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PN-B-06714-17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wilgotności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  6.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PN-B-06714-18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nasiąkliwości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  7.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PN-B-06714-19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mrozoodporności metodą bezpośrednią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  8.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PN-B-06714-26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zawartości zanieczyszczeń organicznych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  9.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PN-B-06714-28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zawartości siarki metodą bromową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10.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PN-B-06714-37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rozpadu krzemianowego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11.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PN-B-06714-39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rozpadu żelazawego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12.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PN-B-06714-42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Badania. Oznaczanie ścieralności w bębnie Los Angeles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13.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PN-B-06731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Żużel wielkopiecowy kawałkowy. Kruszywo budowlane i drogowe. Badania techniczne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14.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PN-B-11111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Kruszywa naturalne do nawierzchni drogowych. Żwir i mieszanka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15.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PN-B-11112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Kruszywa łamane do nawierzchni drogowych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16.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PN-B-11113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Kruszywa mineralne. Kruszywa naturalne do nawierzchni drogowych. Piasek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17.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PN-B-19701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Cement. Cement powszechnego użytku. Skład, wymagania i ocena zgodności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18.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PN-B-23006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Kruszywo do betonu lekkiego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20.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PN-B-32250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Materiały budowlane. Woda do betonu i zapraw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21.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PN-S-06102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Drogi samochodowe. Podbudowy z kruszyw stabilizowanych mechanicznie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22.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PN-S-96023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Konstrukcje drogowe. Podbudowa i nawierzchnia z tłucznia kamiennego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25.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BN-84/6774-02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Kruszywo mineralne. Kruszywo kamienne łamane do nawierzchni drogowych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26.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BN-64/8931-01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Drogi samochodowe. Oznaczanie wskaźnika piaskowego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27.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BN-64/8931-02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Drogi samochodowe. Oznaczanie modułu odkształcenia nawierzchni podatnych i podłoża przez obciążenie płytą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28.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BN-68/8931-04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Drogi samochodowe. Pomiar równości nawierzchni </w:t>
            </w:r>
            <w:proofErr w:type="spellStart"/>
            <w:r w:rsidRPr="00B35ECA">
              <w:t>planografem</w:t>
            </w:r>
            <w:proofErr w:type="spellEnd"/>
            <w:r w:rsidRPr="00B35ECA">
              <w:t xml:space="preserve"> i łatą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29.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BN-70/8931-06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 xml:space="preserve">Drogi samochodowe. Pomiar ugięć podatnych </w:t>
            </w:r>
            <w:proofErr w:type="spellStart"/>
            <w:r w:rsidRPr="00B35ECA">
              <w:t>ugięciomierzem</w:t>
            </w:r>
            <w:proofErr w:type="spellEnd"/>
            <w:r w:rsidRPr="00B35ECA">
              <w:t xml:space="preserve"> belkowym</w:t>
            </w:r>
          </w:p>
        </w:tc>
      </w:tr>
      <w:tr w:rsidR="00B35ECA" w:rsidRPr="00B35ECA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30.</w:t>
            </w:r>
          </w:p>
        </w:tc>
        <w:tc>
          <w:tcPr>
            <w:tcW w:w="170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BN-77/8931-12</w:t>
            </w:r>
          </w:p>
        </w:tc>
        <w:tc>
          <w:tcPr>
            <w:tcW w:w="7371" w:type="dxa"/>
          </w:tcPr>
          <w:p w:rsidR="00B35ECA" w:rsidRPr="00B35ECA" w:rsidRDefault="00B35ECA" w:rsidP="0002377A">
            <w:pPr>
              <w:pStyle w:val="Standardowytekst"/>
            </w:pPr>
            <w:r w:rsidRPr="00B35ECA">
              <w:t>Oznaczanie wskaźnika zagęszczenia gruntu</w:t>
            </w:r>
          </w:p>
        </w:tc>
      </w:tr>
    </w:tbl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</w:p>
    <w:p w:rsidR="00B35ECA" w:rsidRPr="00B35ECA" w:rsidRDefault="00B35ECA" w:rsidP="00B35ECA">
      <w:pPr>
        <w:pStyle w:val="Nagwek3"/>
        <w:keepNext w:val="0"/>
        <w:numPr>
          <w:ilvl w:val="2"/>
          <w:numId w:val="0"/>
        </w:numPr>
        <w:tabs>
          <w:tab w:val="left" w:pos="355"/>
        </w:tabs>
        <w:autoSpaceDE w:val="0"/>
        <w:autoSpaceDN w:val="0"/>
        <w:spacing w:before="60" w:after="60"/>
        <w:jc w:val="both"/>
        <w:rPr>
          <w:color w:val="auto"/>
          <w:sz w:val="20"/>
          <w:szCs w:val="20"/>
        </w:rPr>
      </w:pPr>
      <w:r w:rsidRPr="00B35ECA">
        <w:rPr>
          <w:color w:val="auto"/>
          <w:sz w:val="20"/>
          <w:szCs w:val="20"/>
        </w:rPr>
        <w:t>Inne dokumenty</w:t>
      </w:r>
    </w:p>
    <w:p w:rsidR="00B35ECA" w:rsidRPr="00B35ECA" w:rsidRDefault="00B35ECA" w:rsidP="00B35ECA">
      <w:pPr>
        <w:rPr>
          <w:sz w:val="20"/>
          <w:szCs w:val="20"/>
        </w:rPr>
      </w:pPr>
      <w:r w:rsidRPr="00B35ECA">
        <w:rPr>
          <w:sz w:val="20"/>
          <w:szCs w:val="20"/>
        </w:rPr>
        <w:t xml:space="preserve">Katalog typowych konstrukcji nawierzchni podatnych i półsztywnych, </w:t>
      </w:r>
      <w:proofErr w:type="spellStart"/>
      <w:r w:rsidRPr="00B35ECA">
        <w:rPr>
          <w:sz w:val="20"/>
          <w:szCs w:val="20"/>
        </w:rPr>
        <w:t>IBDiM</w:t>
      </w:r>
      <w:proofErr w:type="spellEnd"/>
      <w:r w:rsidRPr="00B35ECA">
        <w:rPr>
          <w:sz w:val="20"/>
          <w:szCs w:val="20"/>
        </w:rPr>
        <w:t xml:space="preserve"> - Warszawa 1997.</w:t>
      </w:r>
    </w:p>
    <w:p w:rsidR="00B35ECA" w:rsidRPr="00B35ECA" w:rsidRDefault="00B35ECA" w:rsidP="00B35ECA">
      <w:pPr>
        <w:rPr>
          <w:sz w:val="20"/>
          <w:szCs w:val="20"/>
        </w:rPr>
      </w:pPr>
    </w:p>
    <w:p w:rsidR="00B35ECA" w:rsidRPr="00B35ECA" w:rsidRDefault="00B35ECA" w:rsidP="00B35ECA">
      <w:pPr>
        <w:rPr>
          <w:sz w:val="20"/>
          <w:szCs w:val="20"/>
        </w:rPr>
      </w:pPr>
    </w:p>
    <w:p w:rsidR="00571B11" w:rsidRPr="00B35ECA" w:rsidRDefault="00571B11"/>
    <w:sectPr w:rsidR="00571B11" w:rsidRPr="00B35ECA" w:rsidSect="00B35ECA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768" w:rsidRDefault="00B96768" w:rsidP="00B35ECA">
      <w:r>
        <w:separator/>
      </w:r>
    </w:p>
  </w:endnote>
  <w:endnote w:type="continuationSeparator" w:id="0">
    <w:p w:rsidR="00B96768" w:rsidRDefault="00B96768" w:rsidP="00B35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ECA" w:rsidRDefault="00B35ECA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B35ECA">
        <w:rPr>
          <w:rFonts w:asciiTheme="majorHAnsi" w:hAnsiTheme="majorHAnsi"/>
          <w:noProof/>
        </w:rPr>
        <w:t>8</w:t>
      </w:r>
    </w:fldSimple>
  </w:p>
  <w:p w:rsidR="00B35ECA" w:rsidRDefault="00B35EC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768" w:rsidRDefault="00B96768" w:rsidP="00B35ECA">
      <w:r>
        <w:separator/>
      </w:r>
    </w:p>
  </w:footnote>
  <w:footnote w:type="continuationSeparator" w:id="0">
    <w:p w:rsidR="00B96768" w:rsidRDefault="00B96768" w:rsidP="00B35E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86398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55B30A50"/>
    <w:multiLevelType w:val="hybridMultilevel"/>
    <w:tmpl w:val="998AE50C"/>
    <w:lvl w:ilvl="0" w:tplc="B208905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0F4CFD"/>
    <w:multiLevelType w:val="hybridMultilevel"/>
    <w:tmpl w:val="75E4373E"/>
    <w:lvl w:ilvl="0" w:tplc="B208905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8251F7"/>
    <w:multiLevelType w:val="hybridMultilevel"/>
    <w:tmpl w:val="85544612"/>
    <w:lvl w:ilvl="0" w:tplc="B208905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ECA"/>
    <w:rsid w:val="0020511F"/>
    <w:rsid w:val="00571B11"/>
    <w:rsid w:val="00B35ECA"/>
    <w:rsid w:val="00B9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5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B35ECA"/>
    <w:pPr>
      <w:keepNext/>
      <w:keepLines/>
      <w:suppressAutoHyphens/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b/>
      <w:caps/>
      <w:kern w:val="28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B35ECA"/>
    <w:pPr>
      <w:keepNext/>
      <w:jc w:val="center"/>
      <w:outlineLvl w:val="2"/>
    </w:pPr>
    <w:rPr>
      <w:b/>
      <w:bCs/>
      <w:i/>
      <w:iCs/>
      <w:color w:val="0000FF"/>
      <w:sz w:val="28"/>
    </w:rPr>
  </w:style>
  <w:style w:type="paragraph" w:styleId="Nagwek4">
    <w:name w:val="heading 4"/>
    <w:basedOn w:val="Normalny"/>
    <w:next w:val="Normalny"/>
    <w:link w:val="Nagwek4Znak"/>
    <w:qFormat/>
    <w:rsid w:val="00B35E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35E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35EC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35ECA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35ECA"/>
    <w:rPr>
      <w:rFonts w:ascii="Times New Roman" w:eastAsia="Times New Roman" w:hAnsi="Times New Roman" w:cs="Times New Roman"/>
      <w:b/>
      <w:bCs/>
      <w:i/>
      <w:iCs/>
      <w:color w:val="0000FF"/>
      <w:kern w:val="0"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35ECA"/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35ECA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35ECA"/>
    <w:rPr>
      <w:rFonts w:ascii="Times New Roman" w:eastAsia="Times New Roman" w:hAnsi="Times New Roman" w:cs="Times New Roman"/>
      <w:b/>
      <w:bCs/>
      <w:kern w:val="0"/>
      <w:lang w:eastAsia="pl-PL"/>
    </w:rPr>
  </w:style>
  <w:style w:type="paragraph" w:customStyle="1" w:styleId="Standardowytekst">
    <w:name w:val="Standardowy.tekst"/>
    <w:rsid w:val="00B35EC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ekstost">
    <w:name w:val="tekst ost"/>
    <w:basedOn w:val="Normalny"/>
    <w:rsid w:val="00B35EC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1">
    <w:name w:val="Standardowy.tekst1"/>
    <w:rsid w:val="00B35E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abela-SST">
    <w:name w:val="Tabela - SST"/>
    <w:basedOn w:val="Standardowytekst"/>
    <w:rsid w:val="00B35ECA"/>
    <w:pPr>
      <w:tabs>
        <w:tab w:val="left" w:pos="355"/>
      </w:tabs>
      <w:overflowPunct/>
      <w:adjustRightInd/>
      <w:jc w:val="center"/>
    </w:pPr>
    <w:rPr>
      <w:bCs/>
      <w:iCs/>
      <w:noProof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5EC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ECA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B35E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35EC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5E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5ECA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2957</Words>
  <Characters>17745</Characters>
  <Application>Microsoft Office Word</Application>
  <DocSecurity>0</DocSecurity>
  <Lines>147</Lines>
  <Paragraphs>41</Paragraphs>
  <ScaleCrop>false</ScaleCrop>
  <Company/>
  <LinksUpToDate>false</LinksUpToDate>
  <CharactersWithSpaces>20661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2011-08-17T08:21:00Z</dcterms:created>
  <dcterms:modified xsi:type="dcterms:W3CDTF">2011-08-17T08:25:00Z</dcterms:modified>
</cp:coreProperties>
</file>