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0" w:type="dxa"/>
        <w:tblLayout w:type="fixed"/>
        <w:tblLook w:val="0000"/>
      </w:tblPr>
      <w:tblGrid>
        <w:gridCol w:w="2448"/>
        <w:gridCol w:w="6804"/>
      </w:tblGrid>
      <w:tr w:rsidR="00053D4F" w:rsidTr="005B24A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D4F" w:rsidRDefault="00053D4F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48690" cy="948690"/>
                  <wp:effectExtent l="19050" t="0" r="381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3D4F" w:rsidRDefault="00053D4F" w:rsidP="005B24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D4F" w:rsidRDefault="00053D4F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STAROSTWO POWIATOWE</w:t>
            </w:r>
          </w:p>
          <w:p w:rsidR="00053D4F" w:rsidRDefault="00053D4F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SKARŻYSKU-KAMIENNEJ</w:t>
            </w:r>
          </w:p>
          <w:p w:rsidR="00053D4F" w:rsidRDefault="00053D4F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ul. Konarskiego 20, 26-110 Skarżysko-Kamienna</w:t>
            </w:r>
          </w:p>
          <w:p w:rsidR="00053D4F" w:rsidRDefault="00053D4F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tel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: 41 39-53-001, fax: 41 25-24-001</w:t>
            </w:r>
          </w:p>
          <w:p w:rsidR="00053D4F" w:rsidRDefault="00053D4F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en-US"/>
              </w:rPr>
              <w:t>www.powiat.skarzysko.pl</w:t>
            </w:r>
          </w:p>
          <w:p w:rsidR="00053D4F" w:rsidRDefault="00053D4F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mail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>: starostwo@skarzysko.powiat.pl</w:t>
            </w:r>
          </w:p>
        </w:tc>
      </w:tr>
      <w:tr w:rsidR="00053D4F" w:rsidTr="005B24A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D4F" w:rsidRDefault="00053D4F" w:rsidP="005B24A2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lang w:val="de-DE"/>
              </w:rPr>
              <w:t>AB.6.2013.1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D4F" w:rsidRDefault="00053D4F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8"/>
                <w:szCs w:val="28"/>
              </w:rPr>
              <w:t xml:space="preserve">Wydanie zaświadczenia o samodzielności lokalu </w:t>
            </w:r>
          </w:p>
          <w:p w:rsidR="00053D4F" w:rsidRDefault="00053D4F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</w:p>
        </w:tc>
      </w:tr>
      <w:tr w:rsidR="00053D4F" w:rsidTr="005B24A2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D4F" w:rsidRDefault="00053D4F" w:rsidP="005B24A2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Sprawy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prowadzi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Wydział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Architektury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Budownictwa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Zagospodarowania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Przestrzennego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</w:p>
          <w:p w:rsidR="00053D4F" w:rsidRDefault="00053D4F" w:rsidP="005B24A2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ul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Konarskiego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20  pok. 307, 308, 309, 312, 313                  tel. 41 39 53 037, 41 39 53 038, 41 39 53 039 i 41 39 53 043</w:t>
            </w:r>
          </w:p>
          <w:p w:rsidR="00053D4F" w:rsidRDefault="00053D4F" w:rsidP="005B24A2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053D4F" w:rsidTr="005B24A2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D4F" w:rsidRDefault="00053D4F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Podstawa prawna wykonania usługi:</w:t>
            </w:r>
          </w:p>
          <w:p w:rsidR="00053D4F" w:rsidRDefault="00053D4F" w:rsidP="00053D4F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Ustawa z dnia 14 czerwca 1960r. Kodeks postępowania administracyjnego (tj. Dz. U. z 2013r. poz. 267),</w:t>
            </w:r>
          </w:p>
          <w:p w:rsidR="00053D4F" w:rsidRDefault="00053D4F" w:rsidP="00053D4F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Art. 2 ust. 2 ustawy z dnia 24 czerwca 1994r. o własności lokali (tj. Dz.  U. z 2000r. Nr 80, poz. 903 ze zm.)</w:t>
            </w:r>
          </w:p>
          <w:p w:rsidR="00053D4F" w:rsidRDefault="00053D4F" w:rsidP="005B24A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53D4F" w:rsidTr="005B24A2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D4F" w:rsidRDefault="00053D4F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Wymagane dokumenty:</w:t>
            </w:r>
          </w:p>
          <w:p w:rsidR="00053D4F" w:rsidRPr="00A419B5" w:rsidRDefault="00053D4F" w:rsidP="005B24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NewRoman"/>
                <w:color w:val="auto"/>
                <w:sz w:val="24"/>
                <w:szCs w:val="24"/>
                <w:lang w:eastAsia="pl-PL"/>
              </w:rPr>
            </w:pPr>
            <w:r w:rsidRPr="0031784A">
              <w:rPr>
                <w:sz w:val="24"/>
                <w:szCs w:val="24"/>
              </w:rPr>
              <w:t xml:space="preserve">Wniosek inwestora </w:t>
            </w:r>
            <w:r w:rsidRPr="0031784A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na drukach okre</w:t>
            </w:r>
            <w:r w:rsidRPr="0031784A">
              <w:rPr>
                <w:rFonts w:eastAsia="TimesNewRoman"/>
                <w:color w:val="auto"/>
                <w:sz w:val="24"/>
                <w:szCs w:val="24"/>
                <w:lang w:eastAsia="pl-PL"/>
              </w:rPr>
              <w:t>ś</w:t>
            </w:r>
            <w:r w:rsidRPr="0031784A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lonych przepisem prawa podpisany przez wnioskodawc</w:t>
            </w:r>
            <w:r w:rsidRPr="0031784A">
              <w:rPr>
                <w:rFonts w:eastAsia="TimesNewRoman"/>
                <w:color w:val="auto"/>
                <w:sz w:val="24"/>
                <w:szCs w:val="24"/>
                <w:lang w:eastAsia="pl-PL"/>
              </w:rPr>
              <w:t xml:space="preserve">ę </w:t>
            </w:r>
            <w:r w:rsidRPr="0031784A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lub osob</w:t>
            </w:r>
            <w:r w:rsidRPr="0031784A">
              <w:rPr>
                <w:rFonts w:eastAsia="TimesNewRoman"/>
                <w:color w:val="auto"/>
                <w:sz w:val="24"/>
                <w:szCs w:val="24"/>
                <w:lang w:eastAsia="pl-PL"/>
              </w:rPr>
              <w:t>ę</w:t>
            </w:r>
            <w:r>
              <w:rPr>
                <w:rFonts w:eastAsia="TimesNewRoman"/>
                <w:color w:val="auto"/>
                <w:sz w:val="24"/>
                <w:szCs w:val="24"/>
                <w:lang w:eastAsia="pl-PL"/>
              </w:rPr>
              <w:t xml:space="preserve"> </w:t>
            </w:r>
            <w:r w:rsidRPr="0031784A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upowa</w:t>
            </w:r>
            <w:r>
              <w:rPr>
                <w:rFonts w:eastAsia="TimesNewRoman"/>
                <w:color w:val="auto"/>
                <w:sz w:val="24"/>
                <w:szCs w:val="24"/>
                <w:lang w:eastAsia="pl-PL"/>
              </w:rPr>
              <w:t>ż</w:t>
            </w:r>
            <w:r w:rsidRPr="0031784A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nion</w:t>
            </w:r>
            <w:r w:rsidRPr="0031784A">
              <w:rPr>
                <w:rFonts w:eastAsia="TimesNewRoman"/>
                <w:color w:val="auto"/>
                <w:sz w:val="24"/>
                <w:szCs w:val="24"/>
                <w:lang w:eastAsia="pl-PL"/>
              </w:rPr>
              <w:t xml:space="preserve">ą </w:t>
            </w:r>
            <w:r w:rsidRPr="0031784A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(druk do pobrania ze strony internetowej lub w urz</w:t>
            </w:r>
            <w:r w:rsidRPr="0031784A">
              <w:rPr>
                <w:rFonts w:eastAsia="TimesNewRoman"/>
                <w:color w:val="auto"/>
                <w:sz w:val="24"/>
                <w:szCs w:val="24"/>
                <w:lang w:eastAsia="pl-PL"/>
              </w:rPr>
              <w:t>ę</w:t>
            </w:r>
            <w:r w:rsidRPr="0031784A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dzie). Upowa</w:t>
            </w:r>
            <w:r>
              <w:rPr>
                <w:rFonts w:eastAsia="TimesNewRoman"/>
                <w:color w:val="auto"/>
                <w:sz w:val="24"/>
                <w:szCs w:val="24"/>
                <w:lang w:eastAsia="pl-PL"/>
              </w:rPr>
              <w:t>ż</w:t>
            </w:r>
            <w:r w:rsidRPr="0031784A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nienie przedkłada si</w:t>
            </w:r>
            <w:r w:rsidRPr="0031784A">
              <w:rPr>
                <w:rFonts w:eastAsia="TimesNewRoman"/>
                <w:color w:val="auto"/>
                <w:sz w:val="24"/>
                <w:szCs w:val="24"/>
                <w:lang w:eastAsia="pl-PL"/>
              </w:rPr>
              <w:t>ę</w:t>
            </w:r>
            <w:r>
              <w:rPr>
                <w:rFonts w:eastAsia="TimesNewRoman"/>
                <w:color w:val="auto"/>
                <w:sz w:val="24"/>
                <w:szCs w:val="24"/>
                <w:lang w:eastAsia="pl-PL"/>
              </w:rPr>
              <w:t xml:space="preserve"> </w:t>
            </w:r>
            <w:r w:rsidRPr="0031784A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na pi</w:t>
            </w:r>
            <w:r w:rsidRPr="0031784A">
              <w:rPr>
                <w:rFonts w:eastAsia="TimesNewRoman"/>
                <w:color w:val="auto"/>
                <w:sz w:val="24"/>
                <w:szCs w:val="24"/>
                <w:lang w:eastAsia="pl-PL"/>
              </w:rPr>
              <w:t>ś</w:t>
            </w:r>
            <w:r w:rsidRPr="0031784A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mie w oryginale wraz z uiszczon</w:t>
            </w:r>
            <w:r w:rsidRPr="0031784A">
              <w:rPr>
                <w:rFonts w:eastAsia="TimesNewRoman"/>
                <w:color w:val="auto"/>
                <w:sz w:val="24"/>
                <w:szCs w:val="24"/>
                <w:lang w:eastAsia="pl-PL"/>
              </w:rPr>
              <w:t xml:space="preserve">ą </w:t>
            </w:r>
            <w:r w:rsidRPr="0031784A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opłat</w:t>
            </w:r>
            <w:r w:rsidRPr="0031784A">
              <w:rPr>
                <w:rFonts w:eastAsia="TimesNewRoman"/>
                <w:color w:val="auto"/>
                <w:sz w:val="24"/>
                <w:szCs w:val="24"/>
                <w:lang w:eastAsia="pl-PL"/>
              </w:rPr>
              <w:t xml:space="preserve">ą </w:t>
            </w:r>
            <w:r w:rsidRPr="0031784A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skarbow</w:t>
            </w:r>
            <w:r w:rsidRPr="0031784A">
              <w:rPr>
                <w:rFonts w:eastAsia="TimesNewRoman"/>
                <w:color w:val="auto"/>
                <w:sz w:val="24"/>
                <w:szCs w:val="24"/>
                <w:lang w:eastAsia="pl-PL"/>
              </w:rPr>
              <w:t>ą</w:t>
            </w:r>
            <w:r w:rsidRPr="0031784A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.</w:t>
            </w:r>
          </w:p>
          <w:p w:rsidR="00053D4F" w:rsidRPr="00A419B5" w:rsidRDefault="00053D4F" w:rsidP="005B24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color w:val="auto"/>
                <w:sz w:val="24"/>
                <w:szCs w:val="24"/>
                <w:lang w:eastAsia="pl-PL"/>
              </w:rPr>
            </w:pPr>
            <w:r w:rsidRPr="0031784A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Zał</w:t>
            </w:r>
            <w:r w:rsidRPr="0031784A">
              <w:rPr>
                <w:rFonts w:eastAsia="TimesNewRoman"/>
                <w:color w:val="auto"/>
                <w:sz w:val="24"/>
                <w:szCs w:val="24"/>
                <w:lang w:eastAsia="pl-PL"/>
              </w:rPr>
              <w:t>ą</w:t>
            </w:r>
            <w:r w:rsidRPr="0031784A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czniki: inwentaryzacja lokalu wraz z opisem.</w:t>
            </w:r>
            <w:r w:rsidRPr="0031784A">
              <w:rPr>
                <w:sz w:val="24"/>
                <w:szCs w:val="24"/>
              </w:rPr>
              <w:t xml:space="preserve"> </w:t>
            </w:r>
          </w:p>
        </w:tc>
      </w:tr>
      <w:tr w:rsidR="00053D4F" w:rsidTr="005B24A2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D4F" w:rsidRDefault="00053D4F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 Miejsce składania dokumentów:</w:t>
            </w:r>
          </w:p>
          <w:p w:rsidR="00053D4F" w:rsidRDefault="00053D4F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Biuro Obsługi Interesanta Starostwa Powiatowego w Skarżysku-Kamiennej, ul. Konarskiego 20, parter</w:t>
            </w:r>
          </w:p>
        </w:tc>
      </w:tr>
      <w:tr w:rsidR="00053D4F" w:rsidTr="005B24A2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D4F" w:rsidRDefault="00053D4F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 Opłaty:</w:t>
            </w:r>
          </w:p>
          <w:p w:rsidR="00053D4F" w:rsidRDefault="00053D4F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ustawą z dnia 16 listopada 2006r. o opłacie skarbowej (Dz. U. z 2006r. Nr 225, poz. 1635)</w:t>
            </w:r>
          </w:p>
        </w:tc>
      </w:tr>
      <w:tr w:rsidR="00053D4F" w:rsidTr="005B24A2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D4F" w:rsidRDefault="00053D4F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 Sposób załatwienia sprawy:</w:t>
            </w:r>
          </w:p>
          <w:p w:rsidR="00053D4F" w:rsidRDefault="00053D4F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Wydanie zaświadczenia.</w:t>
            </w:r>
          </w:p>
        </w:tc>
      </w:tr>
      <w:tr w:rsidR="00053D4F" w:rsidTr="005B24A2">
        <w:trPr>
          <w:trHeight w:val="915"/>
        </w:trPr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D4F" w:rsidRDefault="00053D4F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VI. Odbiór informacji:</w:t>
            </w:r>
          </w:p>
          <w:p w:rsidR="00053D4F" w:rsidRDefault="00053D4F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List polecony za zwrotnym potwierdzeniem odbioru lub osobiście.</w:t>
            </w:r>
          </w:p>
        </w:tc>
      </w:tr>
      <w:tr w:rsidR="00053D4F" w:rsidTr="005B24A2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D4F" w:rsidRDefault="00053D4F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VII. Termin załatwienia sprawy:</w:t>
            </w:r>
          </w:p>
          <w:p w:rsidR="00053D4F" w:rsidRDefault="00053D4F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Bez zbędnej zwłoki. Zgodnie z Kodeksem postępowania administracyjnego w terminie 7 dni.</w:t>
            </w:r>
          </w:p>
          <w:p w:rsidR="00053D4F" w:rsidRDefault="00053D4F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53D4F" w:rsidTr="005B24A2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D4F" w:rsidRDefault="00053D4F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VIII. Tryb odwoławczy:</w:t>
            </w:r>
          </w:p>
          <w:p w:rsidR="00053D4F" w:rsidRDefault="00053D4F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---------------------</w:t>
            </w:r>
          </w:p>
          <w:p w:rsidR="00053D4F" w:rsidRDefault="00053D4F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53D4F" w:rsidRDefault="00053D4F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53D4F" w:rsidTr="005B24A2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D4F" w:rsidRDefault="00053D4F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IX. Inne informacje:</w:t>
            </w:r>
          </w:p>
          <w:p w:rsidR="00053D4F" w:rsidRDefault="00053D4F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---------------------</w:t>
            </w:r>
          </w:p>
          <w:p w:rsidR="00053D4F" w:rsidRDefault="00053D4F" w:rsidP="005B24A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53D4F" w:rsidRDefault="00053D4F"/>
    <w:sectPr w:rsidR="00053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D"/>
    <w:multiLevelType w:val="multilevel"/>
    <w:tmpl w:val="0000005D"/>
    <w:name w:val="WW8Num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53D4F"/>
    <w:rsid w:val="00053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D4F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D4F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Wroniewska</dc:creator>
  <cp:keywords/>
  <dc:description/>
  <cp:lastModifiedBy>Joanna Wroniewska</cp:lastModifiedBy>
  <cp:revision>1</cp:revision>
  <dcterms:created xsi:type="dcterms:W3CDTF">2013-07-05T06:55:00Z</dcterms:created>
  <dcterms:modified xsi:type="dcterms:W3CDTF">2013-07-05T06:55:00Z</dcterms:modified>
</cp:coreProperties>
</file>